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950235.xml.htm"/>
      <w:bookmarkStart w:id="1" w:name="kswkform4_17809502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Eagle Jevin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3438 PEACHTREE ROAD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CARTERS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2"/>
        <w:gridCol w:w="903"/>
        <w:gridCol w:w="773"/>
        <w:gridCol w:w="599"/>
        <w:gridCol w:w="344"/>
        <w:gridCol w:w="1051"/>
        <w:gridCol w:w="441"/>
        <w:gridCol w:w="604"/>
        <w:gridCol w:w="1351"/>
        <w:gridCol w:w="981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12.0659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27,020.391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credited to the Reporting Person as a result of a dividend payment with respect to the Company's common stock, in accordance with and to be settled pursuant to the terms of the Company's director deferred compensation program.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/s/Derek Swanson,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7128" TargetMode="External"/><Relationship Id="rId5" Type="http://schemas.openxmlformats.org/officeDocument/2006/relationships/hyperlink" Target="http://www.sec.gov/cgi-bin/browse-edgar?action=getcompany&amp;CIK=00010608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3259</Characters>
  <CharactersWithSpaces>3799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