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57" w:lineRule="exact"/>
        <w:rPr>
          <w:sz w:val="24"/>
          <w:szCs w:val="24"/>
          <w:color w:val="auto"/>
        </w:rPr>
      </w:pPr>
    </w:p>
    <w:p>
      <w:pPr>
        <w:ind w:left="380" w:right="600" w:hanging="358"/>
        <w:spacing w:after="0" w:line="291" w:lineRule="auto"/>
        <w:tabs>
          <w:tab w:leader="none" w:pos="40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28, 2013 OR</w:t>
      </w:r>
    </w:p>
    <w:p>
      <w:pPr>
        <w:spacing w:after="0" w:line="102" w:lineRule="exact"/>
        <w:rPr>
          <w:sz w:val="24"/>
          <w:szCs w:val="24"/>
          <w:color w:val="auto"/>
        </w:rPr>
      </w:pPr>
    </w:p>
    <w:p>
      <w:pPr>
        <w:ind w:left="380" w:hanging="358"/>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w:t>
      </w:r>
    </w:p>
    <w:p>
      <w:pPr>
        <w:spacing w:after="0" w:line="30"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EXCHANGE ACT OF 1934 FOR THE TRANSITION PERIOD FROM _____</w:t>
      </w:r>
    </w:p>
    <w:p>
      <w:pPr>
        <w:spacing w:after="0" w:line="8"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TO 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001-31829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CARTER’S,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440"/>
          </w:cols>
          <w:pgMar w:left="240" w:top="439" w:right="219" w:bottom="1440" w:gutter="0" w:footer="0" w:header="0"/>
        </w:sectPr>
      </w:pPr>
    </w:p>
    <w:p>
      <w:pPr>
        <w:spacing w:after="0" w:line="137"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340"/>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62" w:lineRule="exact"/>
        <w:rPr>
          <w:sz w:val="24"/>
          <w:szCs w:val="24"/>
          <w:color w:val="auto"/>
        </w:rPr>
      </w:pPr>
    </w:p>
    <w:p>
      <w:pPr>
        <w:sectPr>
          <w:pgSz w:w="11900" w:h="16838" w:orient="portrait"/>
          <w:cols w:equalWidth="0" w:num="2">
            <w:col w:w="6600" w:space="720"/>
            <w:col w:w="4120"/>
          </w:cols>
          <w:pgMar w:left="240" w:top="439" w:right="21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6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43" w:lineRule="exact"/>
        <w:rPr>
          <w:sz w:val="24"/>
          <w:szCs w:val="24"/>
          <w:color w:val="auto"/>
        </w:rPr>
      </w:pPr>
    </w:p>
    <w:p>
      <w:pPr>
        <w:sectPr>
          <w:pgSz w:w="11900" w:h="16838" w:orient="portrait"/>
          <w:cols w:equalWidth="0" w:num="2">
            <w:col w:w="5800" w:space="720"/>
            <w:col w:w="4920"/>
          </w:cols>
          <w:pgMar w:left="240" w:top="439" w:right="21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Phipps Tower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3438 Peachtree Road NE, Suite 1800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Atlanta, Georgia 30326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(678) 791-1000</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52" w:lineRule="exact"/>
        <w:rPr>
          <w:sz w:val="24"/>
          <w:szCs w:val="24"/>
          <w:color w:val="auto"/>
        </w:rPr>
      </w:pPr>
    </w:p>
    <w:tbl>
      <w:tblPr>
        <w:tblLayout w:type="fixed"/>
        <w:tblInd w:w="1900" w:type="dxa"/>
        <w:tblCellMar>
          <w:top w:w="0" w:type="dxa"/>
          <w:left w:w="0" w:type="dxa"/>
          <w:bottom w:w="0" w:type="dxa"/>
          <w:right w:w="0" w:type="dxa"/>
        </w:tblCellMar>
      </w:tblPr>
      <w:tr>
        <w:trPr>
          <w:trHeight w:val="213"/>
        </w:trPr>
        <w:tc>
          <w:tcPr>
            <w:tcW w:w="4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
        </w:trPr>
        <w:tc>
          <w:tcPr>
            <w:tcW w:w="3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1"/>
        </w:trPr>
        <w:tc>
          <w:tcPr>
            <w:tcW w:w="4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Carter's, Inc.'s common stock par value $0.01 per share</w:t>
            </w: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pacing w:after="0" w:line="1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 (X) No ( )</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 ( ) No (X)</w:t>
      </w:r>
    </w:p>
    <w:p>
      <w:pPr>
        <w:spacing w:after="0" w:line="206"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48"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1440"/>
          </w:cols>
          <w:pgMar w:left="240" w:top="439" w:right="219" w:bottom="1440" w:gutter="0" w:footer="0" w:header="0"/>
          <w:type w:val="continuous"/>
        </w:sectPr>
      </w:pPr>
    </w:p>
    <w:bookmarkStart w:id="1" w:name="page2"/>
    <w:bookmarkEnd w:id="1"/>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 (X) Accelerated Filer ( ) Non-Accelerated Filer ( ) Smaller Reporting Company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 ( ) No (X)</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approximate aggregate market value of the voting stock held by non-affiliates of the Registrant as of June 28, 2013 (the last business day of our most recently completed second quarter) was $4,294,975,763.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53,649,056 shares of Carter's, Inc. common stock with a par value of $0.01 per share outstanding as of the close of business on February 21, 2014.</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Portions of the definitive proxy statement to be filed with the Securities and Exchange Commission pursuant to Regulation 14A relating to the Annual Meeting of shareholders of Carter's, Inc., to be held on May 14, 2014, will be incorporated by reference in Part III of this Form 10-K. Carter's, Inc. intends to file such proxy statement with the Securities and Exchange Commission not later than 120 days after its fiscal year ended December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158750</wp:posOffset>
            </wp:positionV>
            <wp:extent cx="728535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355" cy="40640"/>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FISCAL YEAR ENDED DECEMBER 28,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1880" w:type="dxa"/>
            <w:vAlign w:val="bottom"/>
            <w:gridSpan w:val="12"/>
          </w:tcPr>
          <w:p>
            <w:pPr>
              <w:spacing w:after="0" w:line="183" w:lineRule="exact"/>
              <w:rPr>
                <w:rFonts w:ascii="Times New Roman" w:cs="Times New Roman" w:eastAsia="Times New Roman" w:hAnsi="Times New Roman"/>
                <w:sz w:val="16"/>
                <w:szCs w:val="16"/>
                <w:b w:val="1"/>
                <w:bCs w:val="1"/>
                <w:color w:val="0000FF"/>
              </w:rPr>
            </w:pPr>
            <w:hyperlink w:anchor="page20">
              <w:r>
                <w:rPr>
                  <w:rFonts w:ascii="Times New Roman" w:cs="Times New Roman" w:eastAsia="Times New Roman" w:hAnsi="Times New Roman"/>
                  <w:sz w:val="16"/>
                  <w:szCs w:val="16"/>
                  <w:b w:val="1"/>
                  <w:bCs w:val="1"/>
                  <w:color w:val="0000FF"/>
                </w:rPr>
                <w:t>Part I</w:t>
              </w:r>
            </w:hyperlink>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5"/>
          </w:tcPr>
          <w:p>
            <w:pPr>
              <w:jc w:val="right"/>
              <w:ind w:right="40"/>
              <w:spacing w:after="0" w:line="183"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1</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83" w:lineRule="exact"/>
              <w:rPr>
                <w:rFonts w:ascii="Times New Roman" w:cs="Times New Roman" w:eastAsia="Times New Roman" w:hAnsi="Times New Roman"/>
                <w:sz w:val="16"/>
                <w:szCs w:val="16"/>
                <w:color w:val="0000EE"/>
                <w:w w:val="96"/>
              </w:rPr>
            </w:pPr>
            <w:hyperlink w:anchor="page4">
              <w:r>
                <w:rPr>
                  <w:rFonts w:ascii="Times New Roman" w:cs="Times New Roman" w:eastAsia="Times New Roman" w:hAnsi="Times New Roman"/>
                  <w:sz w:val="16"/>
                  <w:szCs w:val="16"/>
                  <w:color w:val="0000EE"/>
                  <w:w w:val="96"/>
                </w:rPr>
                <w:t>Item 1</w:t>
              </w:r>
            </w:hyperlink>
          </w:p>
        </w:tc>
        <w:tc>
          <w:tcPr>
            <w:tcW w:w="420" w:type="dxa"/>
            <w:vAlign w:val="bottom"/>
            <w:gridSpan w:val="4"/>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83" w:lineRule="exact"/>
              <w:rPr>
                <w:rFonts w:ascii="Times New Roman" w:cs="Times New Roman" w:eastAsia="Times New Roman" w:hAnsi="Times New Roman"/>
                <w:sz w:val="16"/>
                <w:szCs w:val="16"/>
                <w:color w:val="0000FF"/>
                <w:w w:val="98"/>
              </w:rPr>
            </w:pPr>
            <w:hyperlink w:anchor="page4">
              <w:r>
                <w:rPr>
                  <w:rFonts w:ascii="Times New Roman" w:cs="Times New Roman" w:eastAsia="Times New Roman" w:hAnsi="Times New Roman"/>
                  <w:sz w:val="16"/>
                  <w:szCs w:val="16"/>
                  <w:color w:val="0000FF"/>
                  <w:w w:val="98"/>
                </w:rPr>
                <w:t>Business</w:t>
              </w:r>
            </w:hyperlink>
          </w:p>
        </w:tc>
        <w:tc>
          <w:tcPr>
            <w:tcW w:w="7280" w:type="dxa"/>
            <w:vAlign w:val="bottom"/>
            <w:gridSpan w:val="19"/>
            <w:shd w:val="clear" w:color="auto" w:fill="CCEEFF"/>
          </w:tcPr>
          <w:p>
            <w:pPr>
              <w:spacing w:after="0"/>
              <w:rPr>
                <w:sz w:val="15"/>
                <w:szCs w:val="15"/>
                <w:color w:val="auto"/>
              </w:rPr>
            </w:pPr>
          </w:p>
        </w:tc>
        <w:tc>
          <w:tcPr>
            <w:tcW w:w="1260" w:type="dxa"/>
            <w:vAlign w:val="bottom"/>
            <w:gridSpan w:val="3"/>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line="183" w:lineRule="exact"/>
              <w:rPr>
                <w:rFonts w:ascii="Times New Roman" w:cs="Times New Roman" w:eastAsia="Times New Roman" w:hAnsi="Times New Roman"/>
                <w:sz w:val="16"/>
                <w:szCs w:val="16"/>
                <w:color w:val="0000FF"/>
                <w:w w:val="74"/>
              </w:rPr>
            </w:pPr>
            <w:hyperlink w:anchor="page4">
              <w:r>
                <w:rPr>
                  <w:rFonts w:ascii="Times New Roman" w:cs="Times New Roman" w:eastAsia="Times New Roman" w:hAnsi="Times New Roman"/>
                  <w:sz w:val="16"/>
                  <w:szCs w:val="16"/>
                  <w:color w:val="0000FF"/>
                  <w:w w:val="74"/>
                </w:rPr>
                <w:t>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7"/>
          </w:tcPr>
          <w:p>
            <w:pPr>
              <w:spacing w:after="0" w:line="183" w:lineRule="exact"/>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Item 1A</w:t>
              </w:r>
            </w:hyperlink>
          </w:p>
        </w:tc>
        <w:tc>
          <w:tcPr>
            <w:tcW w:w="8160" w:type="dxa"/>
            <w:vAlign w:val="bottom"/>
            <w:gridSpan w:val="21"/>
          </w:tcPr>
          <w:p>
            <w:pPr>
              <w:ind w:left="300"/>
              <w:spacing w:after="0" w:line="183"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Risk Factors</w:t>
              </w:r>
            </w:hyperlink>
          </w:p>
        </w:tc>
        <w:tc>
          <w:tcPr>
            <w:tcW w:w="1380" w:type="dxa"/>
            <w:vAlign w:val="bottom"/>
            <w:gridSpan w:val="5"/>
          </w:tcPr>
          <w:p>
            <w:pPr>
              <w:jc w:val="right"/>
              <w:ind w:right="40"/>
              <w:spacing w:after="0" w:line="183"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7</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7"/>
            <w:shd w:val="clear" w:color="auto" w:fill="CCEEFF"/>
          </w:tcPr>
          <w:p>
            <w:pPr>
              <w:spacing w:after="0" w:line="183" w:lineRule="exact"/>
              <w:rPr>
                <w:rFonts w:ascii="Times New Roman" w:cs="Times New Roman" w:eastAsia="Times New Roman" w:hAnsi="Times New Roman"/>
                <w:sz w:val="16"/>
                <w:szCs w:val="16"/>
                <w:color w:val="0000EE"/>
              </w:rPr>
            </w:pPr>
            <w:hyperlink w:anchor="page18">
              <w:r>
                <w:rPr>
                  <w:rFonts w:ascii="Times New Roman" w:cs="Times New Roman" w:eastAsia="Times New Roman" w:hAnsi="Times New Roman"/>
                  <w:sz w:val="16"/>
                  <w:szCs w:val="16"/>
                  <w:color w:val="0000EE"/>
                </w:rPr>
                <w:t>Item 1B</w:t>
              </w:r>
            </w:hyperlink>
          </w:p>
        </w:tc>
        <w:tc>
          <w:tcPr>
            <w:tcW w:w="8160" w:type="dxa"/>
            <w:vAlign w:val="bottom"/>
            <w:gridSpan w:val="21"/>
            <w:shd w:val="clear" w:color="auto" w:fill="CCEEFF"/>
          </w:tcPr>
          <w:p>
            <w:pPr>
              <w:ind w:left="300"/>
              <w:spacing w:after="0" w:line="183" w:lineRule="exact"/>
              <w:rPr>
                <w:rFonts w:ascii="Times New Roman" w:cs="Times New Roman" w:eastAsia="Times New Roman" w:hAnsi="Times New Roman"/>
                <w:sz w:val="16"/>
                <w:szCs w:val="16"/>
                <w:color w:val="0000FF"/>
              </w:rPr>
            </w:pPr>
            <w:hyperlink w:anchor="page18">
              <w:r>
                <w:rPr>
                  <w:rFonts w:ascii="Times New Roman" w:cs="Times New Roman" w:eastAsia="Times New Roman" w:hAnsi="Times New Roman"/>
                  <w:sz w:val="16"/>
                  <w:szCs w:val="16"/>
                  <w:color w:val="0000FF"/>
                </w:rPr>
                <w:t>Unresolved Staff Comments</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18">
              <w:r>
                <w:rPr>
                  <w:rFonts w:ascii="Times New Roman" w:cs="Times New Roman" w:eastAsia="Times New Roman" w:hAnsi="Times New Roman"/>
                  <w:sz w:val="16"/>
                  <w:szCs w:val="16"/>
                  <w:color w:val="0000FF"/>
                </w:rPr>
                <w:t>16</w:t>
              </w:r>
            </w:hyperlink>
          </w:p>
        </w:tc>
        <w:tc>
          <w:tcPr>
            <w:tcW w:w="4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rPr>
            </w:pPr>
            <w:hyperlink w:anchor="page19">
              <w:r>
                <w:rPr>
                  <w:rFonts w:ascii="Times New Roman" w:cs="Times New Roman" w:eastAsia="Times New Roman" w:hAnsi="Times New Roman"/>
                  <w:sz w:val="16"/>
                  <w:szCs w:val="16"/>
                  <w:color w:val="0000EE"/>
                </w:rPr>
                <w:t>Item 2</w:t>
              </w:r>
            </w:hyperlink>
          </w:p>
        </w:tc>
        <w:tc>
          <w:tcPr>
            <w:tcW w:w="32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84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w:anchor="page19">
              <w:r>
                <w:rPr>
                  <w:rFonts w:ascii="Times New Roman" w:cs="Times New Roman" w:eastAsia="Times New Roman" w:hAnsi="Times New Roman"/>
                  <w:sz w:val="16"/>
                  <w:szCs w:val="16"/>
                  <w:color w:val="0000FF"/>
                </w:rPr>
                <w:t>Properties</w:t>
              </w:r>
            </w:hyperlink>
          </w:p>
        </w:tc>
        <w:tc>
          <w:tcPr>
            <w:tcW w:w="6020" w:type="dxa"/>
            <w:vAlign w:val="bottom"/>
            <w:tcBorders>
              <w:top w:val="single" w:sz="8" w:color="CCEEFF"/>
            </w:tcBorders>
            <w:gridSpan w:val="11"/>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83" w:lineRule="exact"/>
              <w:rPr>
                <w:rFonts w:ascii="Times New Roman" w:cs="Times New Roman" w:eastAsia="Times New Roman" w:hAnsi="Times New Roman"/>
                <w:sz w:val="16"/>
                <w:szCs w:val="16"/>
                <w:color w:val="0000FF"/>
                <w:w w:val="87"/>
              </w:rPr>
            </w:pPr>
            <w:hyperlink w:anchor="page19">
              <w:r>
                <w:rPr>
                  <w:rFonts w:ascii="Times New Roman" w:cs="Times New Roman" w:eastAsia="Times New Roman" w:hAnsi="Times New Roman"/>
                  <w:sz w:val="16"/>
                  <w:szCs w:val="16"/>
                  <w:color w:val="0000FF"/>
                  <w:w w:val="87"/>
                </w:rPr>
                <w:t>17</w:t>
              </w:r>
            </w:hyperlink>
          </w:p>
        </w:tc>
        <w:tc>
          <w:tcPr>
            <w:tcW w:w="40" w:type="dxa"/>
            <w:vAlign w:val="bottom"/>
            <w:tcBorders>
              <w:top w:val="single" w:sz="8" w:color="CCEEFF"/>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83" w:lineRule="exact"/>
              <w:rPr>
                <w:rFonts w:ascii="Times New Roman" w:cs="Times New Roman" w:eastAsia="Times New Roman" w:hAnsi="Times New Roman"/>
                <w:sz w:val="16"/>
                <w:szCs w:val="16"/>
                <w:color w:val="0000EE"/>
                <w:w w:val="96"/>
              </w:rPr>
            </w:pPr>
            <w:hyperlink w:anchor="page20">
              <w:r>
                <w:rPr>
                  <w:rFonts w:ascii="Times New Roman" w:cs="Times New Roman" w:eastAsia="Times New Roman" w:hAnsi="Times New Roman"/>
                  <w:sz w:val="16"/>
                  <w:szCs w:val="16"/>
                  <w:color w:val="0000EE"/>
                  <w:w w:val="96"/>
                </w:rPr>
                <w:t>Item 3</w:t>
              </w:r>
            </w:hyperlink>
          </w:p>
        </w:tc>
        <w:tc>
          <w:tcPr>
            <w:tcW w:w="420" w:type="dxa"/>
            <w:vAlign w:val="bottom"/>
            <w:gridSpan w:val="4"/>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Legal Proceedings</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17</w:t>
              </w:r>
            </w:hyperlink>
          </w:p>
        </w:tc>
        <w:tc>
          <w:tcPr>
            <w:tcW w:w="4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3"/>
          </w:tcPr>
          <w:p>
            <w:pPr>
              <w:spacing w:after="0" w:line="183" w:lineRule="exact"/>
              <w:rPr>
                <w:rFonts w:ascii="Times New Roman" w:cs="Times New Roman" w:eastAsia="Times New Roman" w:hAnsi="Times New Roman"/>
                <w:sz w:val="16"/>
                <w:szCs w:val="16"/>
                <w:color w:val="0000EE"/>
                <w:w w:val="96"/>
              </w:rPr>
            </w:pPr>
            <w:hyperlink w:anchor="page20">
              <w:r>
                <w:rPr>
                  <w:rFonts w:ascii="Times New Roman" w:cs="Times New Roman" w:eastAsia="Times New Roman" w:hAnsi="Times New Roman"/>
                  <w:sz w:val="16"/>
                  <w:szCs w:val="16"/>
                  <w:color w:val="0000EE"/>
                  <w:w w:val="96"/>
                </w:rPr>
                <w:t>Item 4</w:t>
              </w:r>
            </w:hyperlink>
          </w:p>
        </w:tc>
        <w:tc>
          <w:tcPr>
            <w:tcW w:w="42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0"/>
          </w:tcPr>
          <w:p>
            <w:pPr>
              <w:spacing w:after="0" w:line="183" w:lineRule="exact"/>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Mine Safety Disclosures</w:t>
              </w:r>
            </w:hyperlink>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17</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0000FF"/>
            </w:tcBorders>
            <w:gridSpan w:val="2"/>
            <w:shd w:val="clear" w:color="auto" w:fill="CCEEFF"/>
          </w:tcPr>
          <w:p>
            <w:pPr>
              <w:spacing w:after="0" w:line="183" w:lineRule="exact"/>
              <w:rPr>
                <w:rFonts w:ascii="Times New Roman" w:cs="Times New Roman" w:eastAsia="Times New Roman" w:hAnsi="Times New Roman"/>
                <w:sz w:val="16"/>
                <w:szCs w:val="16"/>
                <w:b w:val="1"/>
                <w:bCs w:val="1"/>
                <w:color w:val="0000FF"/>
                <w:w w:val="98"/>
              </w:rPr>
            </w:pPr>
            <w:hyperlink w:anchor="page20">
              <w:r>
                <w:rPr>
                  <w:rFonts w:ascii="Times New Roman" w:cs="Times New Roman" w:eastAsia="Times New Roman" w:hAnsi="Times New Roman"/>
                  <w:sz w:val="16"/>
                  <w:szCs w:val="16"/>
                  <w:b w:val="1"/>
                  <w:bCs w:val="1"/>
                  <w:color w:val="0000FF"/>
                  <w:w w:val="98"/>
                </w:rPr>
                <w:t>Part II</w:t>
              </w:r>
            </w:hyperlink>
          </w:p>
        </w:tc>
        <w:tc>
          <w:tcPr>
            <w:tcW w:w="1400" w:type="dxa"/>
            <w:vAlign w:val="bottom"/>
            <w:tcBorders>
              <w:bottom w:val="single" w:sz="8" w:color="CCEEFF"/>
            </w:tcBorders>
            <w:gridSpan w:val="10"/>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3"/>
            <w:shd w:val="clear" w:color="auto" w:fill="CCEEFF"/>
          </w:tcPr>
          <w:p>
            <w:pPr>
              <w:jc w:val="right"/>
              <w:spacing w:after="0" w:line="183" w:lineRule="exact"/>
              <w:rPr>
                <w:rFonts w:ascii="Times New Roman" w:cs="Times New Roman" w:eastAsia="Times New Roman" w:hAnsi="Times New Roman"/>
                <w:sz w:val="16"/>
                <w:szCs w:val="16"/>
                <w:color w:val="0000FF"/>
                <w:w w:val="87"/>
              </w:rPr>
            </w:pPr>
            <w:hyperlink w:anchor="page20">
              <w:r>
                <w:rPr>
                  <w:rFonts w:ascii="Times New Roman" w:cs="Times New Roman" w:eastAsia="Times New Roman" w:hAnsi="Times New Roman"/>
                  <w:sz w:val="16"/>
                  <w:szCs w:val="16"/>
                  <w:color w:val="0000FF"/>
                  <w:w w:val="87"/>
                </w:rPr>
                <w:t>18</w:t>
              </w:r>
            </w:hyperlink>
          </w:p>
        </w:tc>
        <w:tc>
          <w:tcPr>
            <w:tcW w:w="40" w:type="dxa"/>
            <w:vAlign w:val="bottom"/>
            <w:tcBorders>
              <w:bottom w:val="single" w:sz="8" w:color="CCEEFF"/>
            </w:tcBorders>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7"/>
          </w:tcPr>
          <w:p>
            <w:pPr>
              <w:spacing w:after="0" w:line="183" w:lineRule="exact"/>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Item 5</w:t>
              </w:r>
            </w:hyperlink>
          </w:p>
        </w:tc>
        <w:tc>
          <w:tcPr>
            <w:tcW w:w="8160" w:type="dxa"/>
            <w:vAlign w:val="bottom"/>
            <w:gridSpan w:val="21"/>
          </w:tcPr>
          <w:p>
            <w:pPr>
              <w:ind w:left="300"/>
              <w:spacing w:after="0" w:line="183" w:lineRule="exact"/>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Market for Registrant's Common Equity, Related Stockholder Matters, and Issuer Purchases of Equity Securities</w:t>
              </w:r>
            </w:hyperlink>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18</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83" w:lineRule="exact"/>
              <w:rPr>
                <w:rFonts w:ascii="Times New Roman" w:cs="Times New Roman" w:eastAsia="Times New Roman" w:hAnsi="Times New Roman"/>
                <w:sz w:val="16"/>
                <w:szCs w:val="16"/>
                <w:color w:val="0000EE"/>
                <w:w w:val="96"/>
              </w:rPr>
            </w:pPr>
            <w:hyperlink w:anchor="page22">
              <w:r>
                <w:rPr>
                  <w:rFonts w:ascii="Times New Roman" w:cs="Times New Roman" w:eastAsia="Times New Roman" w:hAnsi="Times New Roman"/>
                  <w:sz w:val="16"/>
                  <w:szCs w:val="16"/>
                  <w:color w:val="0000EE"/>
                  <w:w w:val="96"/>
                </w:rPr>
                <w:t>Item 6</w:t>
              </w:r>
            </w:hyperlink>
          </w:p>
        </w:tc>
        <w:tc>
          <w:tcPr>
            <w:tcW w:w="420" w:type="dxa"/>
            <w:vAlign w:val="bottom"/>
            <w:gridSpan w:val="4"/>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Selected Financial Data</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20</w:t>
              </w:r>
            </w:hyperlink>
          </w:p>
        </w:tc>
        <w:tc>
          <w:tcPr>
            <w:tcW w:w="4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3"/>
          </w:tcPr>
          <w:p>
            <w:pPr>
              <w:spacing w:after="0" w:line="183" w:lineRule="exact"/>
              <w:rPr>
                <w:rFonts w:ascii="Times New Roman" w:cs="Times New Roman" w:eastAsia="Times New Roman" w:hAnsi="Times New Roman"/>
                <w:sz w:val="16"/>
                <w:szCs w:val="16"/>
                <w:color w:val="0000EE"/>
                <w:w w:val="96"/>
              </w:rPr>
            </w:pPr>
            <w:hyperlink w:anchor="page24">
              <w:r>
                <w:rPr>
                  <w:rFonts w:ascii="Times New Roman" w:cs="Times New Roman" w:eastAsia="Times New Roman" w:hAnsi="Times New Roman"/>
                  <w:sz w:val="16"/>
                  <w:szCs w:val="16"/>
                  <w:color w:val="0000EE"/>
                  <w:w w:val="96"/>
                </w:rPr>
                <w:t>Item 7</w:t>
              </w:r>
            </w:hyperlink>
          </w:p>
        </w:tc>
        <w:tc>
          <w:tcPr>
            <w:tcW w:w="42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0"/>
          </w:tcPr>
          <w:p>
            <w:pPr>
              <w:spacing w:after="0" w:line="183"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22</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gridSpan w:val="6"/>
            <w:shd w:val="clear" w:color="auto" w:fill="CCEEFF"/>
          </w:tcPr>
          <w:p>
            <w:pPr>
              <w:spacing w:after="0" w:line="183" w:lineRule="exact"/>
              <w:rPr>
                <w:rFonts w:ascii="Times New Roman" w:cs="Times New Roman" w:eastAsia="Times New Roman" w:hAnsi="Times New Roman"/>
                <w:sz w:val="16"/>
                <w:szCs w:val="16"/>
                <w:color w:val="0000EE"/>
                <w:w w:val="98"/>
              </w:rPr>
            </w:pPr>
            <w:hyperlink w:anchor="page41">
              <w:r>
                <w:rPr>
                  <w:rFonts w:ascii="Times New Roman" w:cs="Times New Roman" w:eastAsia="Times New Roman" w:hAnsi="Times New Roman"/>
                  <w:sz w:val="16"/>
                  <w:szCs w:val="16"/>
                  <w:color w:val="0000EE"/>
                  <w:w w:val="98"/>
                </w:rPr>
                <w:t>Item 7A</w:t>
              </w:r>
            </w:hyperlink>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Quantitative and Qualitative Disclosures about Market Risk</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39</w:t>
              </w:r>
            </w:hyperlink>
          </w:p>
        </w:tc>
        <w:tc>
          <w:tcPr>
            <w:tcW w:w="4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gridSpan w:val="6"/>
          </w:tcPr>
          <w:p>
            <w:pPr>
              <w:spacing w:after="0" w:line="183" w:lineRule="exact"/>
              <w:rPr>
                <w:rFonts w:ascii="Times New Roman" w:cs="Times New Roman" w:eastAsia="Times New Roman" w:hAnsi="Times New Roman"/>
                <w:sz w:val="16"/>
                <w:szCs w:val="16"/>
                <w:color w:val="0000EE"/>
              </w:rPr>
            </w:pPr>
            <w:hyperlink w:anchor="page42">
              <w:r>
                <w:rPr>
                  <w:rFonts w:ascii="Times New Roman" w:cs="Times New Roman" w:eastAsia="Times New Roman" w:hAnsi="Times New Roman"/>
                  <w:sz w:val="16"/>
                  <w:szCs w:val="16"/>
                  <w:color w:val="0000EE"/>
                </w:rPr>
                <w:t>Item 8</w:t>
              </w:r>
            </w:hyperlink>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880" w:type="dxa"/>
            <w:vAlign w:val="bottom"/>
            <w:tcBorders>
              <w:top w:val="single" w:sz="8" w:color="0000FF"/>
            </w:tcBorders>
            <w:gridSpan w:val="15"/>
          </w:tcPr>
          <w:p>
            <w:pPr>
              <w:spacing w:after="0" w:line="183" w:lineRule="exact"/>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Financial Statements and Supplementary Data</w:t>
              </w:r>
            </w:hyperlink>
          </w:p>
        </w:tc>
        <w:tc>
          <w:tcPr>
            <w:tcW w:w="3980" w:type="dxa"/>
            <w:vAlign w:val="bottom"/>
            <w:tcBorders>
              <w:top w:val="single" w:sz="8" w:color="CCEEFF"/>
            </w:tcBorders>
            <w:gridSpan w:val="5"/>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83" w:lineRule="exact"/>
              <w:rPr>
                <w:rFonts w:ascii="Times New Roman" w:cs="Times New Roman" w:eastAsia="Times New Roman" w:hAnsi="Times New Roman"/>
                <w:sz w:val="16"/>
                <w:szCs w:val="16"/>
                <w:color w:val="0000FF"/>
                <w:w w:val="87"/>
              </w:rPr>
            </w:pPr>
            <w:hyperlink w:anchor="page42">
              <w:r>
                <w:rPr>
                  <w:rFonts w:ascii="Times New Roman" w:cs="Times New Roman" w:eastAsia="Times New Roman" w:hAnsi="Times New Roman"/>
                  <w:sz w:val="16"/>
                  <w:szCs w:val="16"/>
                  <w:color w:val="0000FF"/>
                  <w:w w:val="87"/>
                </w:rPr>
                <w:t>40</w:t>
              </w:r>
            </w:hyperlink>
          </w:p>
        </w:tc>
        <w:tc>
          <w:tcPr>
            <w:tcW w:w="40" w:type="dxa"/>
            <w:vAlign w:val="bottom"/>
            <w:tcBorders>
              <w:top w:val="single" w:sz="8" w:color="CCEEFF"/>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83" w:lineRule="exact"/>
              <w:rPr>
                <w:rFonts w:ascii="Times New Roman" w:cs="Times New Roman" w:eastAsia="Times New Roman" w:hAnsi="Times New Roman"/>
                <w:sz w:val="16"/>
                <w:szCs w:val="16"/>
                <w:color w:val="0000EE"/>
                <w:w w:val="96"/>
              </w:rPr>
            </w:pPr>
            <w:hyperlink w:anchor="page90">
              <w:r>
                <w:rPr>
                  <w:rFonts w:ascii="Times New Roman" w:cs="Times New Roman" w:eastAsia="Times New Roman" w:hAnsi="Times New Roman"/>
                  <w:sz w:val="16"/>
                  <w:szCs w:val="16"/>
                  <w:color w:val="0000EE"/>
                  <w:w w:val="96"/>
                </w:rPr>
                <w:t>Item 9</w:t>
              </w:r>
            </w:hyperlink>
          </w:p>
        </w:tc>
        <w:tc>
          <w:tcPr>
            <w:tcW w:w="420" w:type="dxa"/>
            <w:vAlign w:val="bottom"/>
            <w:gridSpan w:val="4"/>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Changes in and Disagreements with Accountants on Accounting and Financial Disclosure</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88</w:t>
              </w:r>
            </w:hyperlink>
          </w:p>
        </w:tc>
        <w:tc>
          <w:tcPr>
            <w:tcW w:w="4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7"/>
          </w:tcPr>
          <w:p>
            <w:pPr>
              <w:spacing w:after="0" w:line="183" w:lineRule="exact"/>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Item 9A</w:t>
              </w:r>
            </w:hyperlink>
          </w:p>
        </w:tc>
        <w:tc>
          <w:tcPr>
            <w:tcW w:w="8160" w:type="dxa"/>
            <w:vAlign w:val="bottom"/>
            <w:gridSpan w:val="21"/>
          </w:tcPr>
          <w:p>
            <w:pPr>
              <w:ind w:left="300"/>
              <w:spacing w:after="0" w:line="183"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Controls and Procedures</w:t>
              </w:r>
            </w:hyperlink>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88</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7"/>
            <w:shd w:val="clear" w:color="auto" w:fill="CCEEFF"/>
          </w:tcPr>
          <w:p>
            <w:pPr>
              <w:spacing w:after="0" w:line="183" w:lineRule="exact"/>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Item 9B</w:t>
              </w:r>
            </w:hyperlink>
          </w:p>
        </w:tc>
        <w:tc>
          <w:tcPr>
            <w:tcW w:w="8160" w:type="dxa"/>
            <w:vAlign w:val="bottom"/>
            <w:gridSpan w:val="21"/>
            <w:shd w:val="clear" w:color="auto" w:fill="CCEEFF"/>
          </w:tcPr>
          <w:p>
            <w:pPr>
              <w:ind w:left="300"/>
              <w:spacing w:after="0" w:line="183"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Other Information</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89</w:t>
              </w:r>
            </w:hyperlink>
          </w:p>
        </w:tc>
        <w:tc>
          <w:tcPr>
            <w:tcW w:w="4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5"/>
          </w:tcPr>
          <w:p>
            <w:pPr>
              <w:spacing w:after="0" w:line="183" w:lineRule="exact"/>
              <w:rPr>
                <w:rFonts w:ascii="Times New Roman" w:cs="Times New Roman" w:eastAsia="Times New Roman" w:hAnsi="Times New Roman"/>
                <w:sz w:val="16"/>
                <w:szCs w:val="16"/>
                <w:b w:val="1"/>
                <w:bCs w:val="1"/>
                <w:color w:val="0000FF"/>
              </w:rPr>
            </w:pPr>
            <w:hyperlink w:anchor="page92">
              <w:r>
                <w:rPr>
                  <w:rFonts w:ascii="Times New Roman" w:cs="Times New Roman" w:eastAsia="Times New Roman" w:hAnsi="Times New Roman"/>
                  <w:sz w:val="16"/>
                  <w:szCs w:val="16"/>
                  <w:b w:val="1"/>
                  <w:bCs w:val="1"/>
                  <w:color w:val="0000FF"/>
                </w:rPr>
                <w:t>Part III</w:t>
              </w:r>
            </w:hyperlink>
          </w:p>
        </w:tc>
        <w:tc>
          <w:tcPr>
            <w:tcW w:w="520" w:type="dxa"/>
            <w:vAlign w:val="bottom"/>
            <w:tcBorders>
              <w:top w:val="single" w:sz="8" w:color="0000EE"/>
            </w:tcBorders>
            <w:gridSpan w:val="5"/>
          </w:tcPr>
          <w:p>
            <w:pPr>
              <w:spacing w:after="0"/>
              <w:rPr>
                <w:sz w:val="15"/>
                <w:szCs w:val="15"/>
                <w:color w:val="auto"/>
              </w:rPr>
            </w:pPr>
          </w:p>
        </w:tc>
        <w:tc>
          <w:tcPr>
            <w:tcW w:w="32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83" w:lineRule="exact"/>
              <w:rPr>
                <w:rFonts w:ascii="Times New Roman" w:cs="Times New Roman" w:eastAsia="Times New Roman" w:hAnsi="Times New Roman"/>
                <w:sz w:val="16"/>
                <w:szCs w:val="16"/>
                <w:color w:val="0000FF"/>
                <w:w w:val="87"/>
              </w:rPr>
            </w:pPr>
            <w:hyperlink w:anchor="page92">
              <w:r>
                <w:rPr>
                  <w:rFonts w:ascii="Times New Roman" w:cs="Times New Roman" w:eastAsia="Times New Roman" w:hAnsi="Times New Roman"/>
                  <w:sz w:val="16"/>
                  <w:szCs w:val="16"/>
                  <w:color w:val="0000FF"/>
                  <w:w w:val="87"/>
                </w:rPr>
                <w:t>89</w:t>
              </w:r>
            </w:hyperlink>
          </w:p>
        </w:tc>
        <w:tc>
          <w:tcPr>
            <w:tcW w:w="40" w:type="dxa"/>
            <w:vAlign w:val="bottom"/>
            <w:tcBorders>
              <w:top w:val="single" w:sz="8" w:color="CCEEFF"/>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spacing w:after="0" w:line="183" w:lineRule="exact"/>
              <w:rPr>
                <w:rFonts w:ascii="Times New Roman" w:cs="Times New Roman" w:eastAsia="Times New Roman" w:hAnsi="Times New Roman"/>
                <w:sz w:val="16"/>
                <w:szCs w:val="16"/>
                <w:color w:val="0000EE"/>
                <w:w w:val="97"/>
              </w:rPr>
            </w:pPr>
            <w:hyperlink w:anchor="page92">
              <w:r>
                <w:rPr>
                  <w:rFonts w:ascii="Times New Roman" w:cs="Times New Roman" w:eastAsia="Times New Roman" w:hAnsi="Times New Roman"/>
                  <w:sz w:val="16"/>
                  <w:szCs w:val="16"/>
                  <w:color w:val="0000EE"/>
                  <w:w w:val="97"/>
                </w:rPr>
                <w:t>Item 10</w:t>
              </w:r>
            </w:hyperlink>
          </w:p>
        </w:tc>
        <w:tc>
          <w:tcPr>
            <w:tcW w:w="340" w:type="dxa"/>
            <w:vAlign w:val="bottom"/>
            <w:gridSpan w:val="3"/>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Directors and Executive Officers of the Registrant</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89</w:t>
              </w:r>
            </w:hyperlink>
          </w:p>
        </w:tc>
        <w:tc>
          <w:tcPr>
            <w:tcW w:w="4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500" w:type="dxa"/>
            <w:vAlign w:val="bottom"/>
            <w:tcBorders>
              <w:top w:val="single" w:sz="8" w:color="0000EE"/>
            </w:tcBorders>
            <w:gridSpan w:val="4"/>
          </w:tcPr>
          <w:p>
            <w:pPr>
              <w:spacing w:after="0" w:line="183" w:lineRule="exact"/>
              <w:rPr>
                <w:rFonts w:ascii="Times New Roman" w:cs="Times New Roman" w:eastAsia="Times New Roman" w:hAnsi="Times New Roman"/>
                <w:sz w:val="16"/>
                <w:szCs w:val="16"/>
                <w:color w:val="0000EE"/>
                <w:w w:val="97"/>
              </w:rPr>
            </w:pPr>
            <w:hyperlink w:anchor="page92">
              <w:r>
                <w:rPr>
                  <w:rFonts w:ascii="Times New Roman" w:cs="Times New Roman" w:eastAsia="Times New Roman" w:hAnsi="Times New Roman"/>
                  <w:sz w:val="16"/>
                  <w:szCs w:val="16"/>
                  <w:color w:val="0000EE"/>
                  <w:w w:val="97"/>
                </w:rPr>
                <w:t>Item 11</w:t>
              </w:r>
            </w:hyperlink>
          </w:p>
        </w:tc>
        <w:tc>
          <w:tcPr>
            <w:tcW w:w="34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26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Executive Compensation</w:t>
              </w:r>
            </w:hyperlink>
          </w:p>
        </w:tc>
        <w:tc>
          <w:tcPr>
            <w:tcW w:w="4600" w:type="dxa"/>
            <w:vAlign w:val="bottom"/>
            <w:tcBorders>
              <w:top w:val="single" w:sz="8" w:color="CCEEFF"/>
            </w:tcBorders>
            <w:gridSpan w:val="6"/>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83" w:lineRule="exact"/>
              <w:rPr>
                <w:rFonts w:ascii="Times New Roman" w:cs="Times New Roman" w:eastAsia="Times New Roman" w:hAnsi="Times New Roman"/>
                <w:sz w:val="16"/>
                <w:szCs w:val="16"/>
                <w:color w:val="0000FF"/>
                <w:w w:val="87"/>
              </w:rPr>
            </w:pPr>
            <w:hyperlink w:anchor="page92">
              <w:r>
                <w:rPr>
                  <w:rFonts w:ascii="Times New Roman" w:cs="Times New Roman" w:eastAsia="Times New Roman" w:hAnsi="Times New Roman"/>
                  <w:sz w:val="16"/>
                  <w:szCs w:val="16"/>
                  <w:color w:val="0000FF"/>
                  <w:w w:val="87"/>
                </w:rPr>
                <w:t>89</w:t>
              </w:r>
            </w:hyperlink>
          </w:p>
        </w:tc>
        <w:tc>
          <w:tcPr>
            <w:tcW w:w="40" w:type="dxa"/>
            <w:vAlign w:val="bottom"/>
            <w:tcBorders>
              <w:top w:val="single" w:sz="8" w:color="CCEEFF"/>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w w:val="97"/>
              </w:rPr>
            </w:pPr>
            <w:hyperlink w:anchor="page92">
              <w:r>
                <w:rPr>
                  <w:rFonts w:ascii="Times New Roman" w:cs="Times New Roman" w:eastAsia="Times New Roman" w:hAnsi="Times New Roman"/>
                  <w:sz w:val="16"/>
                  <w:szCs w:val="16"/>
                  <w:color w:val="0000EE"/>
                  <w:w w:val="97"/>
                </w:rPr>
                <w:t>Item 12</w:t>
              </w:r>
            </w:hyperlink>
          </w:p>
        </w:tc>
        <w:tc>
          <w:tcPr>
            <w:tcW w:w="34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580" w:type="dxa"/>
            <w:vAlign w:val="bottom"/>
            <w:tcBorders>
              <w:bottom w:val="single" w:sz="8" w:color="0000FF"/>
            </w:tcBorders>
            <w:gridSpan w:val="18"/>
            <w:shd w:val="clear" w:color="auto" w:fill="CCEEFF"/>
          </w:tcPr>
          <w:p>
            <w:pPr>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3"/>
            <w:shd w:val="clear" w:color="auto" w:fill="CCEEFF"/>
          </w:tcPr>
          <w:p>
            <w:pPr>
              <w:jc w:val="right"/>
              <w:spacing w:after="0" w:line="183" w:lineRule="exact"/>
              <w:rPr>
                <w:rFonts w:ascii="Times New Roman" w:cs="Times New Roman" w:eastAsia="Times New Roman" w:hAnsi="Times New Roman"/>
                <w:sz w:val="16"/>
                <w:szCs w:val="16"/>
                <w:color w:val="0000FF"/>
                <w:w w:val="87"/>
              </w:rPr>
            </w:pPr>
            <w:hyperlink w:anchor="page92">
              <w:r>
                <w:rPr>
                  <w:rFonts w:ascii="Times New Roman" w:cs="Times New Roman" w:eastAsia="Times New Roman" w:hAnsi="Times New Roman"/>
                  <w:sz w:val="16"/>
                  <w:szCs w:val="16"/>
                  <w:color w:val="0000FF"/>
                  <w:w w:val="87"/>
                </w:rPr>
                <w:t>89</w:t>
              </w:r>
            </w:hyperlink>
          </w:p>
        </w:tc>
        <w:tc>
          <w:tcPr>
            <w:tcW w:w="40" w:type="dxa"/>
            <w:vAlign w:val="bottom"/>
            <w:tcBorders>
              <w:bottom w:val="single" w:sz="8" w:color="CCEEFF"/>
            </w:tcBorders>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7"/>
          </w:tcPr>
          <w:p>
            <w:pPr>
              <w:spacing w:after="0" w:line="183" w:lineRule="exact"/>
              <w:rPr>
                <w:rFonts w:ascii="Times New Roman" w:cs="Times New Roman" w:eastAsia="Times New Roman" w:hAnsi="Times New Roman"/>
                <w:sz w:val="16"/>
                <w:szCs w:val="16"/>
                <w:color w:val="0000EE"/>
              </w:rPr>
            </w:pPr>
            <w:hyperlink w:anchor="page92">
              <w:r>
                <w:rPr>
                  <w:rFonts w:ascii="Times New Roman" w:cs="Times New Roman" w:eastAsia="Times New Roman" w:hAnsi="Times New Roman"/>
                  <w:sz w:val="16"/>
                  <w:szCs w:val="16"/>
                  <w:color w:val="0000EE"/>
                </w:rPr>
                <w:t>Item 13</w:t>
              </w:r>
            </w:hyperlink>
          </w:p>
        </w:tc>
        <w:tc>
          <w:tcPr>
            <w:tcW w:w="8160" w:type="dxa"/>
            <w:vAlign w:val="bottom"/>
            <w:gridSpan w:val="21"/>
          </w:tcPr>
          <w:p>
            <w:pPr>
              <w:ind w:left="300"/>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Certain Relationships and Related Transactions</w:t>
              </w:r>
            </w:hyperlink>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89</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w w:val="97"/>
              </w:rPr>
            </w:pPr>
            <w:hyperlink w:anchor="page92">
              <w:r>
                <w:rPr>
                  <w:rFonts w:ascii="Times New Roman" w:cs="Times New Roman" w:eastAsia="Times New Roman" w:hAnsi="Times New Roman"/>
                  <w:sz w:val="16"/>
                  <w:szCs w:val="16"/>
                  <w:color w:val="0000EE"/>
                  <w:w w:val="97"/>
                </w:rPr>
                <w:t>Item 14</w:t>
              </w:r>
            </w:hyperlink>
          </w:p>
        </w:tc>
        <w:tc>
          <w:tcPr>
            <w:tcW w:w="34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0000FF"/>
            </w:tcBorders>
            <w:gridSpan w:val="10"/>
            <w:shd w:val="clear" w:color="auto" w:fill="CCEEFF"/>
          </w:tcPr>
          <w:p>
            <w:pPr>
              <w:spacing w:after="0" w:line="183"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Principal Accountant Fees and Services</w:t>
              </w:r>
            </w:hyperlink>
          </w:p>
        </w:tc>
        <w:tc>
          <w:tcPr>
            <w:tcW w:w="5280" w:type="dxa"/>
            <w:vAlign w:val="bottom"/>
            <w:tcBorders>
              <w:bottom w:val="single" w:sz="8" w:color="CCEEFF"/>
            </w:tcBorders>
            <w:gridSpan w:val="10"/>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3"/>
            <w:shd w:val="clear" w:color="auto" w:fill="CCEEFF"/>
          </w:tcPr>
          <w:p>
            <w:pPr>
              <w:jc w:val="right"/>
              <w:spacing w:after="0" w:line="183" w:lineRule="exact"/>
              <w:rPr>
                <w:rFonts w:ascii="Times New Roman" w:cs="Times New Roman" w:eastAsia="Times New Roman" w:hAnsi="Times New Roman"/>
                <w:sz w:val="16"/>
                <w:szCs w:val="16"/>
                <w:color w:val="0000FF"/>
                <w:w w:val="87"/>
              </w:rPr>
            </w:pPr>
            <w:hyperlink w:anchor="page92">
              <w:r>
                <w:rPr>
                  <w:rFonts w:ascii="Times New Roman" w:cs="Times New Roman" w:eastAsia="Times New Roman" w:hAnsi="Times New Roman"/>
                  <w:sz w:val="16"/>
                  <w:szCs w:val="16"/>
                  <w:color w:val="0000FF"/>
                  <w:w w:val="87"/>
                </w:rPr>
                <w:t>89</w:t>
              </w:r>
            </w:hyperlink>
          </w:p>
        </w:tc>
        <w:tc>
          <w:tcPr>
            <w:tcW w:w="40" w:type="dxa"/>
            <w:vAlign w:val="bottom"/>
            <w:tcBorders>
              <w:bottom w:val="single" w:sz="8" w:color="CCEEFF"/>
            </w:tcBorders>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1880" w:type="dxa"/>
            <w:vAlign w:val="bottom"/>
            <w:gridSpan w:val="12"/>
          </w:tcPr>
          <w:p>
            <w:pPr>
              <w:spacing w:after="0" w:line="183" w:lineRule="exact"/>
              <w:rPr>
                <w:rFonts w:ascii="Times New Roman" w:cs="Times New Roman" w:eastAsia="Times New Roman" w:hAnsi="Times New Roman"/>
                <w:sz w:val="16"/>
                <w:szCs w:val="16"/>
                <w:b w:val="1"/>
                <w:bCs w:val="1"/>
                <w:color w:val="0000FF"/>
              </w:rPr>
            </w:pPr>
            <w:hyperlink w:anchor="page93">
              <w:r>
                <w:rPr>
                  <w:rFonts w:ascii="Times New Roman" w:cs="Times New Roman" w:eastAsia="Times New Roman" w:hAnsi="Times New Roman"/>
                  <w:sz w:val="16"/>
                  <w:szCs w:val="16"/>
                  <w:b w:val="1"/>
                  <w:bCs w:val="1"/>
                  <w:color w:val="0000FF"/>
                </w:rPr>
                <w:t>Part IV</w:t>
              </w:r>
            </w:hyperlink>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93">
              <w:r>
                <w:rPr>
                  <w:rFonts w:ascii="Times New Roman" w:cs="Times New Roman" w:eastAsia="Times New Roman" w:hAnsi="Times New Roman"/>
                  <w:sz w:val="16"/>
                  <w:szCs w:val="16"/>
                  <w:color w:val="0000FF"/>
                </w:rPr>
                <w:t>91</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gridSpan w:val="4"/>
            <w:shd w:val="clear" w:color="auto" w:fill="CCEEFF"/>
          </w:tcPr>
          <w:p>
            <w:pPr>
              <w:spacing w:after="0" w:line="183" w:lineRule="exact"/>
              <w:rPr>
                <w:rFonts w:ascii="Times New Roman" w:cs="Times New Roman" w:eastAsia="Times New Roman" w:hAnsi="Times New Roman"/>
                <w:sz w:val="16"/>
                <w:szCs w:val="16"/>
                <w:color w:val="0000EE"/>
                <w:w w:val="97"/>
              </w:rPr>
            </w:pPr>
            <w:hyperlink w:anchor="page94">
              <w:r>
                <w:rPr>
                  <w:rFonts w:ascii="Times New Roman" w:cs="Times New Roman" w:eastAsia="Times New Roman" w:hAnsi="Times New Roman"/>
                  <w:sz w:val="16"/>
                  <w:szCs w:val="16"/>
                  <w:color w:val="0000EE"/>
                  <w:w w:val="97"/>
                </w:rPr>
                <w:t>Item 15</w:t>
              </w:r>
            </w:hyperlink>
          </w:p>
        </w:tc>
        <w:tc>
          <w:tcPr>
            <w:tcW w:w="34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w:anchor="page94">
              <w:r>
                <w:rPr>
                  <w:rFonts w:ascii="Times New Roman" w:cs="Times New Roman" w:eastAsia="Times New Roman" w:hAnsi="Times New Roman"/>
                  <w:sz w:val="16"/>
                  <w:szCs w:val="16"/>
                  <w:color w:val="0000FF"/>
                </w:rPr>
                <w:t>Exhibits and Financial Statement Schedules</w:t>
              </w:r>
            </w:hyperlink>
          </w:p>
        </w:tc>
        <w:tc>
          <w:tcPr>
            <w:tcW w:w="1340" w:type="dxa"/>
            <w:vAlign w:val="bottom"/>
            <w:gridSpan w:val="4"/>
            <w:shd w:val="clear" w:color="auto" w:fill="CCEEFF"/>
          </w:tcPr>
          <w:p>
            <w:pPr>
              <w:jc w:val="right"/>
              <w:spacing w:after="0" w:line="183" w:lineRule="exact"/>
              <w:rPr>
                <w:rFonts w:ascii="Times New Roman" w:cs="Times New Roman" w:eastAsia="Times New Roman" w:hAnsi="Times New Roman"/>
                <w:sz w:val="16"/>
                <w:szCs w:val="16"/>
                <w:color w:val="0000FF"/>
              </w:rPr>
            </w:pPr>
            <w:hyperlink w:anchor="page94">
              <w:r>
                <w:rPr>
                  <w:rFonts w:ascii="Times New Roman" w:cs="Times New Roman" w:eastAsia="Times New Roman" w:hAnsi="Times New Roman"/>
                  <w:sz w:val="16"/>
                  <w:szCs w:val="16"/>
                  <w:color w:val="0000FF"/>
                </w:rPr>
                <w:t>91</w:t>
              </w:r>
            </w:hyperlink>
          </w:p>
        </w:tc>
        <w:tc>
          <w:tcPr>
            <w:tcW w:w="4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880" w:type="dxa"/>
            <w:vAlign w:val="bottom"/>
            <w:gridSpan w:val="12"/>
          </w:tcPr>
          <w:p>
            <w:pPr>
              <w:spacing w:after="0" w:line="183" w:lineRule="exact"/>
              <w:rPr>
                <w:rFonts w:ascii="Times New Roman" w:cs="Times New Roman" w:eastAsia="Times New Roman" w:hAnsi="Times New Roman"/>
                <w:sz w:val="16"/>
                <w:szCs w:val="16"/>
                <w:b w:val="1"/>
                <w:bCs w:val="1"/>
                <w:color w:val="0000FF"/>
              </w:rPr>
            </w:pPr>
            <w:hyperlink w:anchor="page95">
              <w:r>
                <w:rPr>
                  <w:rFonts w:ascii="Times New Roman" w:cs="Times New Roman" w:eastAsia="Times New Roman" w:hAnsi="Times New Roman"/>
                  <w:sz w:val="16"/>
                  <w:szCs w:val="16"/>
                  <w:b w:val="1"/>
                  <w:bCs w:val="1"/>
                  <w:color w:val="0000FF"/>
                </w:rPr>
                <w:t>SIGNATURES</w:t>
              </w:r>
            </w:hyperlink>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gridSpan w:val="4"/>
          </w:tcPr>
          <w:p>
            <w:pPr>
              <w:jc w:val="right"/>
              <w:spacing w:after="0" w:line="183" w:lineRule="exact"/>
              <w:rPr>
                <w:rFonts w:ascii="Times New Roman" w:cs="Times New Roman" w:eastAsia="Times New Roman" w:hAnsi="Times New Roman"/>
                <w:sz w:val="16"/>
                <w:szCs w:val="16"/>
                <w:color w:val="0000FF"/>
              </w:rPr>
            </w:pPr>
            <w:hyperlink w:anchor="page95">
              <w:r>
                <w:rPr>
                  <w:rFonts w:ascii="Times New Roman" w:cs="Times New Roman" w:eastAsia="Times New Roman" w:hAnsi="Times New Roman"/>
                  <w:sz w:val="16"/>
                  <w:szCs w:val="16"/>
                  <w:color w:val="0000FF"/>
                </w:rPr>
                <w:t>93</w:t>
              </w:r>
            </w:hyperlink>
          </w:p>
        </w:tc>
        <w:tc>
          <w:tcPr>
            <w:tcW w:w="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1880" w:type="dxa"/>
            <w:vAlign w:val="bottom"/>
            <w:gridSpan w:val="1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0000FF"/>
              </w:rPr>
              <w:t>CERTIFICATIONS</w:t>
            </w: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0000FF"/>
              </w:rPr>
              <w:t>X</w:t>
            </w: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bl>
    <w:p>
      <w:pPr>
        <w:sectPr>
          <w:pgSz w:w="11900" w:h="16838" w:orient="portrait"/>
          <w:cols w:equalWidth="0" w:num="1">
            <w:col w:w="11440"/>
          </w:cols>
          <w:pgMar w:left="240" w:top="748" w:right="2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8"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6"/>
          <w:szCs w:val="16"/>
          <w:color w:val="auto"/>
        </w:rPr>
        <w:t>Our market share data is based on information provided by The NPD Group, Inc. ("NPD"). Unless otherwise indicated, references to market share in this Annual Report on Form 10-K are expressed as a percentage of total children's retail sales for a segment of the market. As the Company defines it, the baby and young children's apparel market includes apparel and related products for ages zero to seven.</w:t>
      </w:r>
    </w:p>
    <w:p>
      <w:pPr>
        <w:spacing w:after="0" w:line="15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 xml:space="preserve">The NPD market share data presented is based on NPD's definition of the baby and playclothes categories, which are different from the Company's definitions of these categories. The data presented is based upon The NPD Group/Consumer Tracking Service for Children's Apparel in the United States ("U.S.") and </w:t>
      </w:r>
      <w:r>
        <w:rPr>
          <w:rFonts w:ascii="Times New Roman" w:cs="Times New Roman" w:eastAsia="Times New Roman" w:hAnsi="Times New Roman"/>
          <w:sz w:val="16"/>
          <w:szCs w:val="16"/>
          <w:color w:val="1F497D"/>
        </w:rPr>
        <w:t>r</w:t>
      </w:r>
      <w:r>
        <w:rPr>
          <w:rFonts w:ascii="Times New Roman" w:cs="Times New Roman" w:eastAsia="Times New Roman" w:hAnsi="Times New Roman"/>
          <w:sz w:val="16"/>
          <w:szCs w:val="16"/>
          <w:color w:val="auto"/>
        </w:rPr>
        <w:t>epresents the twelve month period ending December, 2013.</w:t>
      </w:r>
    </w:p>
    <w:p>
      <w:pPr>
        <w:spacing w:after="0" w:line="156"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6"/>
          <w:szCs w:val="16"/>
          <w:color w:val="auto"/>
        </w:rPr>
        <w:t>Unless the context indicates otherwise, in this filing on Form 10-K, “Carter's,” the “Company,” “we,” “us,” “its,” and “our” refers to Carter's, Inc. and its wholly owned subsidiaries.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10" w:lineRule="exact"/>
        <w:rPr>
          <w:sz w:val="20"/>
          <w:szCs w:val="20"/>
          <w:color w:val="auto"/>
        </w:rPr>
      </w:pPr>
    </w:p>
    <w:p>
      <w:pPr>
        <w:ind w:right="3100"/>
        <w:spacing w:after="0" w:line="260" w:lineRule="auto"/>
        <w:rPr>
          <w:sz w:val="20"/>
          <w:szCs w:val="20"/>
          <w:color w:val="auto"/>
        </w:rPr>
      </w:pPr>
      <w:r>
        <w:rPr>
          <w:rFonts w:ascii="Times New Roman" w:cs="Times New Roman" w:eastAsia="Times New Roman" w:hAnsi="Times New Roman"/>
          <w:sz w:val="16"/>
          <w:szCs w:val="16"/>
          <w:color w:val="auto"/>
        </w:rPr>
        <w:t xml:space="preserve">We are the largest branded marketer in the United States ("U.S.") of apparel exclusively for babies and young children. We own two of the most highly recognized and most trusted brand names in the children's apparel industry,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B'gosh </w:t>
      </w:r>
      <w:r>
        <w:rPr>
          <w:rFonts w:ascii="Times New Roman" w:cs="Times New Roman" w:eastAsia="Times New Roman" w:hAnsi="Times New Roman"/>
          <w:sz w:val="16"/>
          <w:szCs w:val="16"/>
          <w:color w:val="auto"/>
        </w:rPr>
        <w:t>(or "OshKosh"). Established in 1865, our</w:t>
      </w:r>
      <w:r>
        <w:rPr>
          <w:rFonts w:ascii="Times New Roman" w:cs="Times New Roman" w:eastAsia="Times New Roman" w:hAnsi="Times New Roman"/>
          <w:sz w:val="16"/>
          <w:szCs w:val="16"/>
          <w:i w:val="1"/>
          <w:iCs w:val="1"/>
          <w:color w:val="auto"/>
        </w:rPr>
        <w:t xml:space="preserve"> Carter's </w:t>
      </w:r>
      <w:r>
        <w:rPr>
          <w:rFonts w:ascii="Times New Roman" w:cs="Times New Roman" w:eastAsia="Times New Roman" w:hAnsi="Times New Roman"/>
          <w:sz w:val="16"/>
          <w:szCs w:val="16"/>
          <w:color w:val="auto"/>
        </w:rPr>
        <w:t>brand is recognized and trusted by consumers for high-quality apparel</w:t>
      </w:r>
    </w:p>
    <w:p>
      <w:pPr>
        <w:spacing w:after="0" w:line="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 xml:space="preserve">for children sizes newborn to seven. Established in 1895,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is a well-known brand, trusted by consumers for apparel for children sizes newborn to 12, with a focus on playclothes for toddlers and young children. Given each brands' product category emphasis and brand aesthetic, we believe the brands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We believe each of our brands has its own unique positioning in the marketplace. In the $18.9 billion baby and young children's apparel market (ages zero to seven) in the U.S.,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has the #1 position with a 13.6% market share and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has a 2.5% market share. We offer multiple product categories, including baby, sleepwear, playclothes, and related accessories. Our multi-channel business model enables us to reach a broad range of consumers across various socio-economic groups, and geographic regions.</w:t>
      </w:r>
    </w:p>
    <w:p>
      <w:pPr>
        <w:spacing w:after="0" w:line="161"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6"/>
          <w:szCs w:val="16"/>
          <w:color w:val="auto"/>
        </w:rPr>
        <w:t>We distribute our products through multiple channels of distribution in the U.S. children's apparel market, which, as of December 28, 2013, includes approximately 17,000 wholesale locations (including national department stores, chain and specialty stores, and discount retailers), 657 Company-operated stores and through our websites. As of December 28, 2013, we operated 476 Carter's and 181 OshKosh outlet, brand, and specialty stores in the U.S. As of December 28, 2013, our products are sold via 102 Company-operated stores in Canada in addition to our international wholesale, licensing, and online channels.</w:t>
      </w:r>
    </w:p>
    <w:p>
      <w:pPr>
        <w:spacing w:after="0" w:line="16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The Company is a Delaware corporation. The Company and its predecessors have been doing business since 1865. The Company's principal executive offices are located at Phipps Tower, 3438 Peachtree Road NE, Suite 1800, Atlanta, Georgia 30326, and our telephone number is (678) 791-1000.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BRANDS, PRODUCTS, AND DISTRIBUTION CHANNELS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CARTER'S BRANDS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0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 xml:space="preserve">Under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we design, source, and market a broad array of products, primarily for sizes newborn to seven.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is sold in department stores, national chains, specialty stores, off-price sales channels, through our Carter's retail stores, and online at www.carters.com. Additionally, we sell our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brands at Walmart and our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brands at Target. In fiscal 2013, we sold over 313.0 million units of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Firsts </w:t>
      </w:r>
      <w:r>
        <w:rPr>
          <w:rFonts w:ascii="Times New Roman" w:cs="Times New Roman" w:eastAsia="Times New Roman" w:hAnsi="Times New Roman"/>
          <w:sz w:val="16"/>
          <w:szCs w:val="16"/>
          <w:color w:val="auto"/>
        </w:rPr>
        <w:t>products in the U.S., an increase of approximately 8.3% from fiscal 2012. Our strategy is to drive sales growth through our focus on essential, high-volume, core apparel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for babies and young children. Such products include bodysuits, pajamas, blanket sleepers, gowns, bibs, receiving blankets and playwear. Our top ten core baby and sleepwear products accounted for approximately 60% of our baby and sleepwear net sales in fiscal 2013 in the U.S. We believe our core apparel products are essential consumer staples and less dependent on changes in fashion trends.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340" w:right="239" w:bottom="1440" w:gutter="0" w:footer="0" w:header="0"/>
        </w:sectPr>
      </w:pPr>
    </w:p>
    <w:bookmarkStart w:id="4" w:name="page5"/>
    <w:bookmarkEnd w:id="4"/>
    <w:p>
      <w:pP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We have cross-functional product teams focused on the development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baby, sleepwear, and playclothes products. These teams are skilled in identifying and developing high-volume, core products. Each team includes members from merchandising, design, sourcing, product development, forecasting, and supply chain logistics. These teams follow a disciplined approach to fabric usage, color rationalization, and productivity and are supported by a dedicated art department and state-of-the-art design systems. We also license our brand names to other companies to create a broad collection of lifestyle products, including bedding, hosiery, shoes, room décor, furniture, gear, and toys. The licensing team directs the use of our designs, art, and selling strategies to all licensees.</w:t>
      </w:r>
    </w:p>
    <w:p>
      <w:pPr>
        <w:spacing w:after="0" w:line="163"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6"/>
          <w:szCs w:val="16"/>
          <w:color w:val="auto"/>
        </w:rPr>
        <w:t>We believe this disciplined approach to core product design results in compelling product offerings to consumers, reduces our exposure to short-term fashion trends, and supports efficient operations. We conduct consumer research as part of our product development process and engage in product testing in our own stores.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CARTER'S BRAND POSITIONING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1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Our strategy is to drive our brand image as the leader in baby and young children's apparel and to consistently provide high-quality products at a great value to consumers. We employ a disciplined merchandising strategy that identifies and focuses on core products. We believe that we have strengthened our brand image with the consumer by differentiating our core products through fabric improvements, new artistic applications, and new packaging and presentation strategies. We also attempt to differentiate our products through store-in-store fixturing, branding and signage packages, and advertising. We have invested in display fixtures for our major wholesale customers that more clearly present our core products on their floors to enhance brand and product presentation. We also strive to provide our wholesale customers with a consistent, high-level of service, including delivering and replenishing products on time to fulfill customer needs. Our retail stores and websites focus on the customer experience through store and website design, visual enhancements, clear product presentation, and experienced customer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CARTER'S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Baby</w:t>
      </w:r>
    </w:p>
    <w:p>
      <w:pPr>
        <w:spacing w:after="0" w:line="208"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baby products include bodysuits, pants, dresses, three piece sets, receiving blankets, layette gowns, bibs, caps, and booties. In fiscal 2013, we generated $886.8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net sales of these products in the 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representing 33.6% of our consolidated net sales.</w:t>
      </w:r>
    </w:p>
    <w:p>
      <w:pPr>
        <w:spacing w:after="0" w:line="1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is the leading brand in the baby category in the U.S. In fiscal 2013, in the department stores, national chains, outlet, specialty stores, and off-price sales channels, our aggregate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market share in the U.S. was approximately 24.5% for baby ages zero to two, which represents more than four times the market share of the next largest brand. We sell a complete range of baby products for newborns, primarily made of cotton. We attribute our leading market position to our brand strength, distinctive print designs, artistic applications, reputation for quality, and ability to manage our dedicated floor space for our wholesale customers. We tier our products through marketing programs targeted toward gift-givers, experienced mothers, and first-time mothers. Our </w:t>
      </w:r>
      <w:r>
        <w:rPr>
          <w:rFonts w:ascii="Times New Roman" w:cs="Times New Roman" w:eastAsia="Times New Roman" w:hAnsi="Times New Roman"/>
          <w:sz w:val="16"/>
          <w:szCs w:val="16"/>
          <w:i w:val="1"/>
          <w:iCs w:val="1"/>
          <w:color w:val="auto"/>
        </w:rPr>
        <w:t>Carter's Little Layette</w:t>
      </w:r>
      <w:r>
        <w:rPr>
          <w:rFonts w:ascii="Times New Roman" w:cs="Times New Roman" w:eastAsia="Times New Roman" w:hAnsi="Times New Roman"/>
          <w:sz w:val="16"/>
          <w:szCs w:val="16"/>
          <w:color w:val="auto"/>
        </w:rPr>
        <w:t xml:space="preserve"> product line, the largest component of our baby business, provides parents with essential core products and accessories, including value-focused multi-packs. Our </w:t>
      </w:r>
      <w:r>
        <w:rPr>
          <w:rFonts w:ascii="Times New Roman" w:cs="Times New Roman" w:eastAsia="Times New Roman" w:hAnsi="Times New Roman"/>
          <w:sz w:val="16"/>
          <w:szCs w:val="16"/>
          <w:i w:val="1"/>
          <w:iCs w:val="1"/>
          <w:color w:val="auto"/>
        </w:rPr>
        <w:t>Little Collections</w:t>
      </w:r>
      <w:r>
        <w:rPr>
          <w:rFonts w:ascii="Times New Roman" w:cs="Times New Roman" w:eastAsia="Times New Roman" w:hAnsi="Times New Roman"/>
          <w:sz w:val="16"/>
          <w:szCs w:val="16"/>
          <w:color w:val="auto"/>
        </w:rPr>
        <w:t xml:space="preserve"> product line consists of coordinated baby programs designed for first-time mothers and gift-givers.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Playclothes</w:t>
      </w:r>
    </w:p>
    <w:p>
      <w:pPr>
        <w:spacing w:after="0" w:line="20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playclothes products include knit and woven cotton apparel for everyday use in sizes three months to seven. In fiscal 2013, we generated $646.7 million in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sales of these products in the U.S., or 24.5%, of our consolidated net sales. We continue to focus on building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in the playclothes market by developing a base of essential, high-volume products that utilize original print designs and innovative artistic applications. Our aggregate 2013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playclothes market share in the U.S. was approximately 11.9% in the $13 billion department store, national chain, outlet, specialty store, and off-price sales channels, which represents nearly 1.5 times the market share of the next largest brand.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Sleepwear</w:t>
      </w:r>
    </w:p>
    <w:p>
      <w:pPr>
        <w:spacing w:after="0" w:line="208"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sleepwear products include pajamas and blanket sleepers in sizes 12 months to seven. In fiscal 2013, we generated $320.6 million in net sales of these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U.S., or 12.1%, of our consolidated net sales.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00"/>
          </w:cols>
          <w:pgMar w:left="240" w:top="535" w:right="259" w:bottom="1440" w:gutter="0" w:footer="0" w:header="0"/>
        </w:sectPr>
      </w:pPr>
    </w:p>
    <w:bookmarkStart w:id="5" w:name="page6"/>
    <w:bookmarkEnd w:id="5"/>
    <w:p>
      <w:pPr>
        <w:ind w:right="20"/>
        <w:spacing w:after="0" w:line="271" w:lineRule="auto"/>
        <w:rPr>
          <w:sz w:val="20"/>
          <w:szCs w:val="20"/>
          <w:color w:val="auto"/>
        </w:rPr>
      </w:pPr>
      <w:r>
        <w:rPr>
          <w:rFonts w:ascii="Times New Roman" w:cs="Times New Roman" w:eastAsia="Times New Roman" w:hAnsi="Times New Roman"/>
          <w:sz w:val="16"/>
          <w:szCs w:val="16"/>
          <w:color w:val="auto"/>
        </w:rPr>
        <w:t xml:space="preserve">is the leading brand of sleepwear for babies and young children within the department store, national chain, outlet, specialty store, and off-price sales channels in the U.S. In fiscal 2013, in these channels,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market share was approximately 32.3%, which represents more than seven times the market share of the next largest brand. As in our baby product line, we differentiate our sleepwear products by offering high-volume, high-quality core products with distinctive print designs and artistic applications.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Products</w:t>
      </w:r>
    </w:p>
    <w:p>
      <w:pPr>
        <w:spacing w:after="0" w:line="21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Our other product offerings include bedding, outerwear, swimwear, shoes, socks, diaper bags, gift sets, toys, and hair accessories. In fiscal 2013, we generated $135.5 million in net sales of these other products in our Carter's retail stores and online, or 5.1%, of our consolidated net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Royalty Income</w:t>
      </w:r>
    </w:p>
    <w:p>
      <w:pPr>
        <w:spacing w:after="0" w:line="2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We currently extend our </w:t>
      </w:r>
      <w:r>
        <w:rPr>
          <w:rFonts w:ascii="Times New Roman" w:cs="Times New Roman" w:eastAsia="Times New Roman" w:hAnsi="Times New Roman"/>
          <w:sz w:val="16"/>
          <w:szCs w:val="16"/>
          <w:i w:val="1"/>
          <w:iCs w:val="1"/>
          <w:color w:val="auto"/>
        </w:rPr>
        <w:t>Carter's, Child of Mine, Just One You,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product offerings by licensing these brands to 17 licensees in the U.S. These licensing partners develop and sell products through our multiple sales channels, while leveraging our brand strength, customer relationships, and designs. Licensed products provide our customers and consumers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core products at attractive values to the consumer. In addition, we work closely with our wholesale customers and our licensees to gain dedicated floor space for licensed product categories. In fiscal 2013,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generated $21.5 million in domestic royalty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OSHKOSH BRANDS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Under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we design, source, and market a broad array of young children's apparel, primarily for children in sizes newborn to 12.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is currently sold in our OshKosh retail stores, department stores, national chains, specialty stores, through off-price sales channels, and online at www.oshkoshbgosh.com and www.oshkosh.com. In fiscal 2013, we sold approximately 44.0 million units of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products in the U.S. through our retail stores, to our wholesale customers, and online, a decrease of approximately 4.1% from fiscal 2012. We also have a licensing agreement with Target through which Target sells products under our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brand. Given its long history of durability, quality, and style, we believe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represents a significant long-term growth opportunity for us, especially in the $13 billion young children's playclothes market in the U.S. We continue to focus on our core product development and marketing disciplines, improving the productivity of our existing OshKosh retail stores, developing new retail formats, investing in new employees and talent development, leveraging our relationships with major wholesale accounts, and leveraging our infrastructure and supply chain.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OSHKOSH BRAND POSITIONING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6"/>
          <w:szCs w:val="16"/>
          <w:color w:val="auto"/>
        </w:rPr>
        <w:t xml:space="preserve">We believe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provides for high-quality playclothes in sizes newborn to 12. Our core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products include denim, overalls, t-shirts, fleece, and other playclothes.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is generally positioned towards an older segment (young children, sizes 2 to 7) and at slightly higher average prices than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We believe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has significant brand name recognition, which consumers associate with high-quality, durable, and authentic playclothes for young children.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OSHKOSH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Playclothes</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is best known for its playclothes products.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products include denim apparel products with multiple wash treatments and coordinating garments, overalls, woven bottoms, knit tops, bodysuits, and playclothes products for everyday use in sizes newborn to 12. In fiscal 2013, we generated $306.1 million in net sales of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products in the U.S., which accounted for approximately 11.6% of our consolidated net sales. Our aggregate 2013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market share in the U.S. was approximately 2.7% in the $13 billion department store, national chain, outlet, specialty store, and off-price sales channels.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342" w:right="239" w:bottom="1440" w:gutter="0" w:footer="0" w:header="0"/>
        </w:sectPr>
      </w:pPr>
    </w:p>
    <w:bookmarkStart w:id="6" w:name="page7"/>
    <w:bookmarkEnd w:id="6"/>
    <w:p>
      <w:pPr>
        <w:spacing w:after="0" w:line="269" w:lineRule="auto"/>
        <w:rPr>
          <w:sz w:val="20"/>
          <w:szCs w:val="20"/>
          <w:color w:val="auto"/>
        </w:rPr>
      </w:pPr>
      <w:r>
        <w:rPr>
          <w:rFonts w:ascii="Times New Roman" w:cs="Times New Roman" w:eastAsia="Times New Roman" w:hAnsi="Times New Roman"/>
          <w:sz w:val="16"/>
          <w:szCs w:val="16"/>
          <w:color w:val="auto"/>
        </w:rPr>
        <w:t xml:space="preserve">We believe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represents a significant opportunity for us to increase our share in the playclothes category as the $13 billion young children's playclothes market in the U.S. is highly fragmented. For fiscal 2013, this market was nearly five times the size of the baby and sleepwear markets combined. We plan to grow this business by strengthening our product offerings, improving product value, reducing product complexity, and leveraging our strong customer relationships and global supply chain expertise.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Products</w:t>
      </w:r>
    </w:p>
    <w:p>
      <w:pPr>
        <w:spacing w:after="0" w:line="188"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6"/>
          <w:szCs w:val="16"/>
          <w:color w:val="auto"/>
        </w:rPr>
        <w:t xml:space="preserve">The remainder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product offerings include baby, sleepwear, outerwear, shoes, hosiery, and accessories. In fiscal 2013, we generated $57.8 million in net sales of these other products in our OshKosh retail stores and online, which accounted for 2.2% of our consolidated net sales.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Royalty Income</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 xml:space="preserve">We partner with a number of domestic licensees to extend the reach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We currently have six domestic licensees selling apparel and accessories. Our largest licensing agreement is with Target Corporation. All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products sold by Target are sold pursuant to this licensing agreement. Our licensed products provide our customers and consumers with a range of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products including outerwear, underwear, swimwear, socks, shoes, and accessories. In fiscal 2013, we earned approximately $10.3 million in domestic royalty income from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p>
      <w:pPr>
        <w:spacing w:after="0" w:line="21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Our international segment includes Company-operated retail, wholesale, and online operations in addition to royalty income from our international licensees. In fiscal 2013, our international sales were $285.3 million, or 10.8% of consolidated net sales. As of December 28, 2013, we operated 102 retail stores in Canada. Additionally, we reach consumers in approximately 60 countries through wholesale and licensing relationships and in over 100 countries through our website.</w:t>
      </w:r>
    </w:p>
    <w:p>
      <w:pPr>
        <w:spacing w:after="0" w:line="15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 xml:space="preserve">We partner with approximately 20 licensees to sell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internationally in approximately 40 countries. In fiscal 2013,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international licensees generated retail sales of approximately $70.0 million, on which we earned approximately $4.3 million in royalty income. In fiscal 2013, our international licensees generated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retail sales of $20.3 million on which we earned $1.2 million in royalty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Business segment financial information for our five business segments: Carter's wholesale, Carter's retail, OshKosh retail, OshKosh wholesale, and international, is contained in Item 8 - “Financial Statements and Supplementary Data,” Note 18 - “Segment Information” to the accompanying audited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MARKETING AND DISTRIBUTION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described above, we sell our products through the wholesale channel, through our retail stores in the U.S. and Canada, and online.</w:t>
      </w:r>
    </w:p>
    <w:p>
      <w:pPr>
        <w:spacing w:after="0" w:line="2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wholesale customers include major retailers, such as, in alphabetical order, Costco, JCPenney, Kohl's, Macy's, Sam's Club, Target, Toys “R” Us, and Walmart. We collaboratively plan store assortments with our wholesale customers. We intend to drive continued growth with our wholesale customers through our focus on managing our key accounts' business through replenishment, product mix, brand presentation, marketing, and frequent meetings with the senior management of our major wholesale customers.</w:t>
      </w:r>
    </w:p>
    <w:p>
      <w:pPr>
        <w:spacing w:after="0" w:line="15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wholesale customers include major retailers, such as, in alphabetical order, Belk, Bon-Ton, Costco, Fred Meyer, JCPenney, Kohl's, and Sears. We continue to work with our customers to establish seasonal plans. The majority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products will be planned and ordered seasonally.</w:t>
      </w:r>
    </w:p>
    <w:p>
      <w:pPr>
        <w:spacing w:after="0" w:line="13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 xml:space="preserve">We have begun to offer "side by side" locations where stores for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are connected, allowing customers to shop for both brands. As of December 28, 2013, we operated a total of 24 "side by side" locations.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380"/>
          </w:cols>
          <w:pgMar w:left="240" w:top="340" w:right="279" w:bottom="1440" w:gutter="0" w:footer="0" w:header="0"/>
        </w:sectPr>
      </w:pPr>
    </w:p>
    <w:bookmarkStart w:id="7" w:name="page8"/>
    <w:bookmarkEnd w:id="7"/>
    <w:p>
      <w:pPr>
        <w:spacing w:after="0" w:line="262" w:lineRule="auto"/>
        <w:rPr>
          <w:sz w:val="20"/>
          <w:szCs w:val="20"/>
          <w:color w:val="auto"/>
        </w:rPr>
      </w:pPr>
      <w:r>
        <w:rPr>
          <w:rFonts w:ascii="Times New Roman" w:cs="Times New Roman" w:eastAsia="Times New Roman" w:hAnsi="Times New Roman"/>
          <w:sz w:val="16"/>
          <w:szCs w:val="16"/>
          <w:color w:val="auto"/>
        </w:rPr>
        <w:t>As of December 28, 2013, we operated 476 Carter's retail stores in the U.S., of which 291 were brand stores and 185 were outlet stores. These stores carry a complete assortment of baby and young children's apparel, accessories, and gift items. Our stores average approximately 4,400 square feet per location and are distinguished by an easy, consumer-friendly shopping environment. Our brand stores are generally located in high-traffic, strip centers located in or near major cities. We believe our brand strength and our assortment of core products have made our stores a destination location within many outlet and strip centers. Our outlet stores are generally located within 20 to 30 minutes of densely-populated areas.</w:t>
      </w:r>
    </w:p>
    <w:p>
      <w:pPr>
        <w:spacing w:after="0" w:line="16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As of December 28, 2013, we operated 181 OshKosh retail stores in the U.S., of which 150 were outlet stores and 31 were brand and specialty stores. These stores carry a wide assortment of young children's apparel, accessories, and gift items and average approximately 4,400 square feet per location.</w:t>
      </w:r>
    </w:p>
    <w:p>
      <w:pPr>
        <w:spacing w:after="0" w:line="143"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6"/>
          <w:szCs w:val="16"/>
          <w:color w:val="auto"/>
        </w:rPr>
        <w:t>As of December 28, 2013, we operated 102 retail stores in Canada. These stores average approximately 5,500 square feet per location, slightly larger than our U.S. based stores, and offer a similar product assortment, localized for climate differences.</w:t>
      </w:r>
    </w:p>
    <w:p>
      <w:pPr>
        <w:spacing w:after="0" w:line="14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the first quarter of 2013, we assumed control of retail operations in Japan, previously managed by a licensee. In fiscal 2013, our retail operations in Japan generated sales of approximately $15.9 million and an operating loss of $11.3 million, which includes exit costs of approximately $4.1 million. In the fourth quarter of 2013, we decided to exit those operations based on revised forecasts which do not meet our investment objectives.</w:t>
      </w:r>
    </w:p>
    <w:p>
      <w:pPr>
        <w:spacing w:after="0" w:line="156"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6"/>
          <w:szCs w:val="16"/>
          <w:color w:val="auto"/>
        </w:rPr>
        <w:t>We have recently invested in a one million square foot multi-channel distribution center in Braselton, Georgia. All of our eCommerce business demand for the U.S. and portions of our retail store and wholesale demand are fulfilled at the Braselton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Store Expansion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a real estate selection process whereby we fully assess all new locations based on demographic factors, retail adjacencies, and population density.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210"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6"/>
          <w:szCs w:val="16"/>
          <w:color w:val="auto"/>
        </w:rPr>
        <w:t>Our strategy is to strengthen our online and direct marketing with a focus on increasing the convenience of shopping by driving higher spend and more transactions per customer, increasing purchase frequency, and increasing return on our marketing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SOURCING NETWORK</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We source products internationally, primarily from Asia. One sourcing agent currently manages approximately 70% of our inventory purchases. Our sourcing network consists of over 100 vendors located in 14 countries. We believe that our sourcing arrangements are sufficient to meet our current operating requirements and provide capacity for growth.</w:t>
      </w:r>
    </w:p>
    <w:p>
      <w:pPr>
        <w:spacing w:after="0" w:line="156"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6"/>
          <w:szCs w:val="16"/>
          <w:color w:val="auto"/>
        </w:rPr>
        <w:t>In fiscal 2012, we established new sourcing operations in Hong Kong. Our goal is to shift the mix of our direct sourcing from approximately 30% in fiscal 2013 to 50% by 2017 in an effort to improve the performance of our supply chain.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 xml:space="preserve">The baby and young children's apparel market is highly competitive. Competition is generally based upon product quality, brand name recognition, price, selection, service, and convenience. Both branded and private label manufacturers compete in the baby and young children's apparel market. Our primary competitors in the wholesale channel include private label product offerings, and, in alphabetical order, Disney and Gerber. Our primary competitors in the retail store channel include, in alphabetical order, Disney, Gap, Gymboree, Old Navy, and The Children's Place. Most retailers, including our wholesale customers, have significant private label product offerings that compete with our products. Because of the highly-fragmented nature of the industry, we also compete with many small manufacturers and retailers. We believe that the strength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and related brand names combined with our breadth of product offerings and operational expertise position us well against these competitors.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00"/>
          </w:cols>
          <w:pgMar w:left="240" w:top="342"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206"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6"/>
          <w:szCs w:val="16"/>
          <w:color w:val="auto"/>
        </w:rPr>
        <w:t xml:space="preserve">We own many trademarks and copyrights, including </w:t>
      </w:r>
      <w:r>
        <w:rPr>
          <w:rFonts w:ascii="Times New Roman" w:cs="Times New Roman" w:eastAsia="Times New Roman" w:hAnsi="Times New Roman"/>
          <w:sz w:val="16"/>
          <w:szCs w:val="16"/>
          <w:i w:val="1"/>
          <w:iCs w:val="1"/>
          <w:color w:val="auto"/>
        </w:rPr>
        <w:t>Carter's®, OshKosh®, OshKosh B'gosh®, Genuine Kids®, Child of Mine®, Just One You®, Precious Firsts™, Little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Collections®,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Little Layette®</w:t>
      </w:r>
      <w:r>
        <w:rPr>
          <w:rFonts w:ascii="Times New Roman" w:cs="Times New Roman" w:eastAsia="Times New Roman" w:hAnsi="Times New Roman"/>
          <w:sz w:val="16"/>
          <w:szCs w:val="16"/>
          <w:color w:val="auto"/>
        </w:rPr>
        <w:t>, many of which are registered in the U.S. and in more than 140 countries and territories.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0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As of December 28, 2013, we had 11,222 employees, 3,847 of whom were employed on a full-time basis and 7,375 of whom were employed on a part-time basis. We have no unionized employees. We have had no labor-related work stoppages and believe that our labor relations are good.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 xml:space="preserve">Our Internet address is </w:t>
      </w:r>
      <w:r>
        <w:rPr>
          <w:rFonts w:ascii="Times New Roman" w:cs="Times New Roman" w:eastAsia="Times New Roman" w:hAnsi="Times New Roman"/>
          <w:sz w:val="16"/>
          <w:szCs w:val="16"/>
          <w:u w:val="single" w:color="auto"/>
          <w:color w:val="0000FF"/>
        </w:rPr>
        <w:t>www.carters.com</w:t>
      </w:r>
      <w:r>
        <w:rPr>
          <w:rFonts w:ascii="Times New Roman" w:cs="Times New Roman" w:eastAsia="Times New Roman" w:hAnsi="Times New Roman"/>
          <w:sz w:val="16"/>
          <w:szCs w:val="16"/>
          <w:color w:val="auto"/>
        </w:rPr>
        <w:t xml:space="preserve">. We are not including the information contained on our website as part of, or incorporating it by reference into, this Annual Report on Form 10-K.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Securities and Exchange Commission (“SEC”). Our SEC reports can be accessed through the investor relations section of our website. The information found on our website is not part of this or any other report we file with or furnish to the SEC. We also make available on our website, the </w:t>
      </w:r>
      <w:r>
        <w:rPr>
          <w:rFonts w:ascii="Times New Roman" w:cs="Times New Roman" w:eastAsia="Times New Roman" w:hAnsi="Times New Roman"/>
          <w:sz w:val="16"/>
          <w:szCs w:val="16"/>
          <w:i w:val="1"/>
          <w:iCs w:val="1"/>
          <w:color w:val="auto"/>
        </w:rPr>
        <w:t>Carter's Code of Ethics</w:t>
      </w:r>
      <w:r>
        <w:rPr>
          <w:rFonts w:ascii="Times New Roman" w:cs="Times New Roman" w:eastAsia="Times New Roman" w:hAnsi="Times New Roman"/>
          <w:sz w:val="16"/>
          <w:szCs w:val="16"/>
          <w:color w:val="auto"/>
        </w:rPr>
        <w:t xml:space="preserve">, our Corporate Governance Principles, and the charters for the Compensation, Audit, and Nominating and Corporate Governance Committees of the Board of Directors.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w:t>
      </w:r>
      <w:r>
        <w:rPr>
          <w:rFonts w:ascii="Times New Roman" w:cs="Times New Roman" w:eastAsia="Times New Roman" w:hAnsi="Times New Roman"/>
          <w:sz w:val="16"/>
          <w:szCs w:val="16"/>
          <w:u w:val="single" w:color="auto"/>
          <w:color w:val="0000FF"/>
        </w:rPr>
        <w:t>www.sec.gov</w:t>
      </w:r>
      <w:r>
        <w:rPr>
          <w:rFonts w:ascii="Times New Roman" w:cs="Times New Roman" w:eastAsia="Times New Roman" w:hAnsi="Times New Roman"/>
          <w:sz w:val="16"/>
          <w:szCs w:val="16"/>
          <w:color w:val="auto"/>
        </w:rPr>
        <w:t>, containing reports, proxy and information statements, and other information regarding issuers that file electronically with the SEC.</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360"/>
          </w:cols>
          <w:pgMar w:left="240" w:top="34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6"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i w:val="1"/>
          <w:iCs w:val="1"/>
          <w:color w:val="auto"/>
        </w:rPr>
        <w:t>You should carefully consider each of the following risk factors as well as the other information contained in this Annual Report on Form 10-K and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w:t>
      </w:r>
    </w:p>
    <w:p>
      <w:pPr>
        <w:spacing w:after="0" w:line="24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loss of one or more of our major customers could result in a material loss of revenues; financial difficulties for our major customers could have a significant impact on us.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We derived approximately 25% of our consolidated net sales from our top five customers for the fiscal year ended December 28, 2013. We do not enter into long-term sales contracts with our major customers, relying instead on product performance, long-standing relationships, and on our position in the marketplace. As a result, we face the risk that one or more of these or other customers may significantly decrease their business with us or terminate their relationship with us as a result of competitive forces, financial difficulties or other reasons, which could result in significant levels of excess inventory, a material decrease in our sales, or material impact on our operating results. Further, a large percentage of our gross accounts receivables are typically from our largest wholesale customers. For example, approximately 75% of our gross accounts receivable at December 28, 2013 were from our ten largest wholesale customers, with four of these customers having individual receivable balances in excess of 10% of gross accounts receivable. Our reserves for doubtful accounts for estimated losses resulting from the inability of our customers to make payments may prove not to be sufficient if any of our major wholesale customers were unable to meet outstanding obligations to us or if their financial condition or credit position were to deteriorate, which could materially adversely affect our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acceptance of our products in the marketplace is affected by consumers’ tastes and preferences, along with fashion trends.</w:t>
      </w:r>
    </w:p>
    <w:p>
      <w:pPr>
        <w:spacing w:after="0" w:line="21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We believe that continued success depends on our ability to provide a compelling value proposition for our consumers in the Company's distribution channels. There can be no assurance that the demand for our products will not decline, or that we will be able to successfully and timely evaluate and adapt our products to changes in consumers' tastes and preferences or fashion trends. If consumers' tastes and preferences are not aligned with our product offerings, demand for our products may decline, promotional pricing may be required to move seasonal merchandise, and our gross margins and results of operations could be adversely affected.</w:t>
      </w:r>
    </w:p>
    <w:p>
      <w:pPr>
        <w:spacing w:after="0" w:line="157" w:lineRule="exact"/>
        <w:rPr>
          <w:sz w:val="20"/>
          <w:szCs w:val="20"/>
          <w:color w:val="auto"/>
        </w:rPr>
      </w:pPr>
    </w:p>
    <w:p>
      <w:pPr>
        <w:ind w:right="96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value of our brand, and our sales, could be diminished if we are associated with negative publicity, including due to actions by our vendors, independent manufacturers and licensees, over whom we have limited control.</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our vendors, independent manufacturers, and licensees, we do not control these vendors, independent manufacturers, licensees, or their labor practices. A violation of our vendor policies, licensee agreements, labor laws, or other laws by these vendors, independent manufacturers, or licensees could damage our brand image. As a result, negative publicity regarding our Company, brands or products, including licensed products, could adversely affect our reputation and sales. Further, while the Company takes steps to ensure the reputation of its brand is maintained through its license agreements, there can be no guarantee that the Company's brand image will not be negatively impacted through its association with products or actions of licensees. In addition, we are subject to certain rules as a public company, such as the conflict minerals rules promulgated under the Dodd-Frank Wall Street Reform and Consumer Protection Act of 2010, that require disclosure of certain activities notwithstanding their compliance with the substantive provisions of applicable law. If we are required to make such disclosures, it is possible that our reputation could be harmed.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protect our intellectual property rights could diminish the value of our brand, weaken our competitive position, and adversely affect our results.</w:t>
      </w:r>
    </w:p>
    <w:p>
      <w:pPr>
        <w:spacing w:after="0" w:line="21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We currently rely on a combination of trademark, unfair competition, and copyright laws, as well as licensing arrangements, to establish and protect our intellectual property rights. The steps taken by us or by our licensees to protect our proprietary rights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535" w:right="2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6"/>
          <w:szCs w:val="16"/>
          <w:color w:val="auto"/>
        </w:rPr>
        <w:t>may not be adequate to prevent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marks, and it may be more difficult for us to successfully challenge the use of our proprietary rights by other parties in those countries. If we fail to protect and maintain our intellectual property rights, the value of our brand could be diminished and our competitive position may suffer. Further, third parties may assert intellectual property claims against us, particularly as we expand our business geographically, and any such claim could be expensive and time consuming to defend, regardless of its merit. Successful infringement claims against us could result in significant monetary liability or prevent us from selling some of our products, which could have an adverse effect on our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incur substantial costs as a result of investigations or other proceedings related to previously disclosed investigations.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As previously reported, beginning in the fourth quarter of fiscal 2009, the SEC and the United States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the federal securities laws, commence any enforcement action against the Company, or require the Company to pay any financial penalties in connection with the SEC's 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United States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our organizational documents in connection with proceedings related to these matters. Our insurance may not provide coverage to offset such costs.</w:t>
      </w:r>
    </w:p>
    <w:p>
      <w:pPr>
        <w:spacing w:after="0" w:line="12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The Company's and its vendors' databases containing personal information of our retail store and eCommerce customers could be breached, which could subject us to adverse publicity, litigation, and expenses. In addition, if we are unable to comply with security standards created by the banks and payment card industry, our operations could be adversely affected.</w:t>
      </w:r>
    </w:p>
    <w:p>
      <w:pPr>
        <w:spacing w:after="0" w:line="1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rely on the security of our networks, databases, systems and processes and, in certain circumstances, those of third parties, such as vendors, to protect our proprietary information and information about our customers. If unauthorized parties gain access to these networks or databases, they may be able to steal, publish, delete, or modify our private and sensitive third-party information. In addition, employees may intentionally or inadvertently cause data or security breaches that result in unauthorized release of personal or confidential information. In such circumstances, we could be held liable to our customers or other parties or be subject to regulatory or other actions for breaching privacy law or failing to adequately protect such information. This could result in costly investigations and litigation, civil or criminal penalties, operational changes, and negative publicity that could adversely affect our financial condition, results of operations, and reputation. Further, if we are unable to comply with the security standards, established by banks and payment card industry, we may be subject to fines, restrictions, and expulsion from card acceptance programs, which could adversely affect our retail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production costs and deflationary pressures on our selling prices may adversely affect our results.</w:t>
      </w:r>
    </w:p>
    <w:p>
      <w:pPr>
        <w:spacing w:after="0" w:line="21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Company's product costs are subject to fluctuations in costs such as manufacturing, cotton, labor, fuel, and transportation. In recent years, we have experienced increased costs of cotton, labor, fuel, and transportation, and have also had higher costs for foreign sourced products as a result of the devaluation of the U.S. dollar relative to certain foreign currencies. We anticipate increased product costs in 2014 due to higher labor costs for our foreign manufacturers. While we raised our selling prices on many of our products over the past two years, we have been unable to fully absorb the cost increases and our profitability has been adversely impacted. In recent years, the Company experienced deflationary pressure on its selling prices, in part driven by intense price competition in the young children's apparel industry. If future product cost increases are more than anticipated, or if we are unable to offset such cost increases through selling price increases or otherwise, our profitability could be adversely affected. Future deflationary pressures on our selling prices could also adversely affect our profitability.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sensitive to overall levels of consumer spending, particularly in the young children's apparel segment.</w:t>
      </w:r>
    </w:p>
    <w:p>
      <w:pPr>
        <w:spacing w:after="0" w:line="21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Consumers' demand for young children's apparel, specifically brand name apparel products, is impacted by the overall level of consumer spending. Discretionary consumer spending is impacted by employment levels, weather, gasoline and utility costs,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380"/>
          </w:cols>
          <w:pgMar w:left="240" w:top="342" w:right="279" w:bottom="1440" w:gutter="0" w:footer="0" w:header="0"/>
        </w:sectPr>
      </w:pPr>
    </w:p>
    <w:bookmarkStart w:id="11" w:name="page12"/>
    <w:bookmarkEnd w:id="11"/>
    <w:p>
      <w:pPr>
        <w:ind w:right="280"/>
        <w:spacing w:after="0" w:line="288" w:lineRule="auto"/>
        <w:rPr>
          <w:sz w:val="20"/>
          <w:szCs w:val="20"/>
          <w:color w:val="auto"/>
        </w:rPr>
      </w:pPr>
      <w:r>
        <w:rPr>
          <w:rFonts w:ascii="Times New Roman" w:cs="Times New Roman" w:eastAsia="Times New Roman" w:hAnsi="Times New Roman"/>
          <w:sz w:val="16"/>
          <w:szCs w:val="16"/>
          <w:color w:val="auto"/>
        </w:rPr>
        <w:t>business conditions, availability of consumer credit, tax rates, interest rates, levels of consumer indebtedness, and overall levels of consumer confidence. Recent and further reductions, or lower-than-expected growth, in the level of discretionary spending may have a material adverse effect on the Company's sales and results of operations.</w:t>
      </w:r>
    </w:p>
    <w:p>
      <w:pPr>
        <w:spacing w:after="0" w:line="13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We source substantially all of our products through foreign production arrangements. Our dependence on foreign supply sources could result in disruptions to our operations in the event of political instability, unfavorable economic conditions, international events, or new foreign regulations, and such disruptions may increase our cost of goods sold and decrease gross profit.</w:t>
      </w:r>
    </w:p>
    <w:p>
      <w:pPr>
        <w:spacing w:after="0" w:line="1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source substantially all of our products through a network of vendors primarily in Asia, principally, coordinated by our sourcing agents and directly through our Hong Kong sourcing office. The following could disrupt our foreign supply chain, increase our cost of goods sold, decrease our gross profit, or impact our ability to get products to our customers:</w:t>
      </w:r>
    </w:p>
    <w:p>
      <w:pPr>
        <w:spacing w:after="0" w:line="156" w:lineRule="exact"/>
        <w:rPr>
          <w:sz w:val="20"/>
          <w:szCs w:val="20"/>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instability of one or more of our major vendors;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or other international events resulting in the disruption of trade in foreign countries from which we source our products;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in the supply of raw materials, including cotton, fabric, and trim items;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labor in our sourcing locations;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new regulations relating to imports, duties, taxes, and other charges on imports;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natural disaster, unusual weather conditions, or an epidemic in foreign countries from which we source our products;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United States customs procedures concerning the importation of apparel products;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delays in customs clearance of any goods;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the global transportation network such as a port strike, capacity withholding, world trade restrictions, or war;</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foreign intellectual property laws;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vendors to secure sufficient credit to finance the manufacturing process including the acquisition of raw materials;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social compliance concerns resulting from our use of international vendors, independent manufacturers and licensees, over whom we have limited control;</w:t>
      </w:r>
    </w:p>
    <w:p>
      <w:pPr>
        <w:spacing w:after="0" w:line="205" w:lineRule="exact"/>
        <w:rPr>
          <w:rFonts w:ascii="Times New Roman" w:cs="Times New Roman" w:eastAsia="Times New Roman" w:hAnsi="Times New Roman"/>
          <w:sz w:val="16"/>
          <w:szCs w:val="16"/>
          <w:color w:val="auto"/>
        </w:rPr>
      </w:pPr>
    </w:p>
    <w:p>
      <w:pPr>
        <w:ind w:left="580" w:right="240" w:hanging="290"/>
        <w:spacing w:after="0" w:line="288"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disclosure rules regarding the identification and reporting on the use of “conflict minerals” sourced from the Democratic Republic of the Congo in our products;</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fluctuations between the Company's and/or its subsidiaries' functional currency and the currencies paid to foreign contractors;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beyond our control that could interrupt our supply chain and delay receipt of our products into the United States.</w:t>
      </w:r>
    </w:p>
    <w:p>
      <w:pPr>
        <w:spacing w:after="0" w:line="20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currently source most of our products through a single port. Labor disruptions at that port or otherwise along our supply chain may adversely affect our relationships with customers, reputation with consumers, and results of operations.</w:t>
      </w:r>
    </w:p>
    <w:p>
      <w:pPr>
        <w:spacing w:after="0" w:line="13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Our business depends on our ability to source and distribute products in a timely manner. Labor disputes at independent factories where our goods are produced, the shipping port we use, or our transportation carriers create significant risks for our business, particularly if these disputes result in work slowdowns, lockouts, strikes, or other disruptions during our peak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40"/>
          </w:cols>
          <w:pgMar w:left="240" w:top="342" w:right="219" w:bottom="1440" w:gutter="0" w:footer="0" w:header="0"/>
        </w:sectPr>
      </w:pPr>
    </w:p>
    <w:bookmarkStart w:id="12" w:name="page13"/>
    <w:bookmarkEnd w:id="12"/>
    <w:p>
      <w:pPr>
        <w:spacing w:after="0" w:line="262" w:lineRule="auto"/>
        <w:rPr>
          <w:sz w:val="20"/>
          <w:szCs w:val="20"/>
          <w:color w:val="auto"/>
        </w:rPr>
      </w:pPr>
      <w:r>
        <w:rPr>
          <w:rFonts w:ascii="Times New Roman" w:cs="Times New Roman" w:eastAsia="Times New Roman" w:hAnsi="Times New Roman"/>
          <w:sz w:val="16"/>
          <w:szCs w:val="16"/>
          <w:color w:val="auto"/>
        </w:rPr>
        <w:t>manufacturing and importing times. The existing contract between the port through which we source most of our products and International Longshore and Warehouse Union is scheduled to expire on July 1, 2014. This may result in slow-downs, disruptions, or a strike if a new agreement is not reached by such date, or even before that date. While we have contingency plans in place, in the event that slow-downs, disruptions or a strike occurs in connection with such contract expiration or otherwise, it may have a material adverse effect on our relationships with our customers and our business, potentially resulting in canceled orders by customers, unanticipated inventory accumulation, and reduced revenues and earnings.</w:t>
      </w:r>
    </w:p>
    <w:p>
      <w:pPr>
        <w:spacing w:after="0" w:line="161"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source substantially all of our products through a network of vendors. We have limited control over these vendors and we may experience delays, product recalls, or loss of revenues if our products do not meet our quality standards.</w:t>
      </w:r>
    </w:p>
    <w:p>
      <w:pPr>
        <w:spacing w:after="0" w:line="1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Our vendors may not continue to provide products that are consistent with our standards. We have occasionally received, and may in the future continue to receive, shipments of product that fail to conform to our quality control standards. A failure in our quality control program may result in diminished product quality, which may result in increased order cancellations and returns, decreased consumer demand for our products, or product recalls, any of which may have a material adverse effect on our results of operations and financial condition. Because we do not control our vendors, products that fail to meet our standards, or other unauthorized products, could end up in the marketplace without our knowledge. This could materially harm our brand and our reputation in the marketplace.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delays, product recalls, or loss of revenues if our products do not meet regulatory requirements.</w:t>
      </w:r>
    </w:p>
    <w:p>
      <w:pPr>
        <w:spacing w:after="0" w:line="21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color w:val="auto"/>
        </w:rPr>
        <w:t>Our products are subject to regulation of and regulatory standards set by various governmental authorities around the world, including the U.S. Consumer Product Safety Commission and Health Canada, with respect to quality and safety. These regulations and standards may change from time to time. Our inability, or that of our vendors, to comply on a timely basis with regulatory requirements could result in significant fines or penalties, which could adversely affect our reputation and sales. Issues with the compliance of merchandise we sell with these regulations and standards, regardless of our culpability, or customer concerns about such issues, could result in damage to our reputation, lost sales, uninsured product liability claims or losses, merchandise recalls, and increased costs.</w:t>
      </w:r>
    </w:p>
    <w:p>
      <w:pPr>
        <w:spacing w:after="0" w:line="161"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loss of a sourcing agent could negatively impact our ability to timely deliver our inventory supply and disrupt our business, which may adversely affect our operating results.</w:t>
      </w:r>
    </w:p>
    <w:p>
      <w:pPr>
        <w:spacing w:after="0" w:line="13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Currently, one sourcing agent manages approximately 70% of our inventory purchases. Although we believe that other buying agents could be retained, or we could procure some of the inventory directly, the loss of this buying agent could delay our ability to timely receive inventory supply and disrupt our business, which could result in a material adverse effect on our operating results. In addition, we have recently increased the amount of our inventory that we source directly and plan to continue to further increase such amounts. We have limited experience in directly sourcing inventory purchases from foreign vendors and we may experience difficulty in the transition, which could disrupt our business, increase our costs, and have a material adverse effect on our operating results.</w:t>
      </w:r>
    </w:p>
    <w:p>
      <w:pPr>
        <w:spacing w:after="0" w:line="161"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and the size and resources of some of our competitors may allow them to compete more effectively than we can, resulting in a loss of market share and, as a result, a decrease in revenue and gross profit.</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The baby and young children's apparel market is highly competitive. Both branded and private label manufacturers compete in the baby and young children's apparel market. Our primary competitors in our wholesale businesses include private label product offerings and Disney and Gerber. Our primary competitors in the retail store channel include, in alphabetical order, Disney, Gap, Gymboree, Old Navy, and The Children's Place. Because of the fragmented nature of the industry, we also compete with many other manufacturers and retailers. Some of our competitors have greater financial resources and larger customer bases than we have. As a result, these competitors may be able to:</w:t>
      </w:r>
    </w:p>
    <w:p>
      <w:pPr>
        <w:spacing w:after="0" w:line="359" w:lineRule="exact"/>
        <w:rPr>
          <w:sz w:val="20"/>
          <w:szCs w:val="20"/>
          <w:color w:val="auto"/>
        </w:rPr>
      </w:pPr>
    </w:p>
    <w:p>
      <w:pPr>
        <w:ind w:left="580" w:hanging="290"/>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adapt to changes in customer requirements more quickly;</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advantage of acquisition and other opportunities more readily;</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devote greater resources to the marketing and sale of their products;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more aggressive pricing strategies than we can.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34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Company's retail success and future growth is dependent upon identifying locations and negotiating appropriate lease terms for retail stores.</w:t>
      </w:r>
    </w:p>
    <w:p>
      <w:pPr>
        <w:spacing w:after="0" w:line="21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The Company's retail stores are located in leased retail locations across the United States and Canada. Successful operation of a retail store depends, in part, on the overall ability of the retail location to attract a consumer base sufficient to make store sales volume profitable. If the Company is unable to identify new retail locations with consumer traffic sufficient to support a profitable sales level, retail growth may be limited. Further, if existing stores do not maintain a sufficient customer base that provides a reasonable sales volume or the Company is unable to negotiate appropriate lease terms for the retail stores, there could be a material adverse impact on the Company's sales, gross margin, and results of operations.</w:t>
      </w:r>
    </w:p>
    <w:p>
      <w:pPr>
        <w:spacing w:after="0" w:line="161"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Profitability and our reputation and relationships could be negatively impacted if we do not adequately forecast the demand for our products and, as a result, create significant levels of excess inventory or insufficient levels of inventory.</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If the Company does not adequately forecast demand for its products and purchases inventory to support an inaccurate forecast, the Company could experience increased costs and lower selling prices due to the need to dispose of excess inventory. In addition, if we forecast demand for our products that is lower than actual demand, we may experience insufficient levels of inventory, which could result in damage to our relationships with customers and our reputation with consumers.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achieve sales growth plans, cost savings, and other assumptions that support the carrying value of our intangible assets.</w:t>
      </w:r>
    </w:p>
    <w:p>
      <w:pPr>
        <w:spacing w:after="0" w:line="21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 xml:space="preserve">As of December 28, 2013, the Company had goodwill of $136.6 million for Carter's and goodwill of $49.5 million for Bonnie Togs, and tradename assets of $220.2 million for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and $85.5 million for the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on its consolidated balance sheet. The carrying value of these assets is subject to annual impairment reviews as of the last day of each fiscal year or more frequently, if deemed necessary, due to any significant events or changes in circumstances. Estimated future cash flows used in these impairment reviews could be negatively impacted if we do not achieve our sales plans, planned cost savings, and other assumptions that support the carrying value of these intangible assets, which could result in impairment of the remaining asset values. Any impairment would adversely affect our results of operations.</w:t>
      </w:r>
    </w:p>
    <w:p>
      <w:pPr>
        <w:spacing w:after="0" w:line="161" w:lineRule="exact"/>
        <w:rPr>
          <w:sz w:val="20"/>
          <w:szCs w:val="20"/>
          <w:color w:val="auto"/>
        </w:rPr>
      </w:pPr>
    </w:p>
    <w:p>
      <w:pPr>
        <w:ind w:right="406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have substantial debt, which could adversely affect our financial health and our ability to obtain financing in the future and to react to changes in our business.</w:t>
      </w:r>
    </w:p>
    <w:p>
      <w:pPr>
        <w:spacing w:after="0" w:line="138"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As of December 28, 2013, we had approximately $586 million aggregate principal amount of debt outstanding (excluding approximately $9.5 million of outstanding letters of credit), and approximately $179.5 million of undrawn availability under our senior secured revolving credit facility after giving effect to $9.5 million of letters of credit issued under our senior secured revolving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substantial debt could have important consequences. Because of our substantial debt:</w:t>
      </w:r>
    </w:p>
    <w:p>
      <w:pPr>
        <w:spacing w:after="0" w:line="206" w:lineRule="exact"/>
        <w:rPr>
          <w:sz w:val="20"/>
          <w:szCs w:val="20"/>
          <w:color w:val="auto"/>
        </w:rPr>
      </w:pPr>
    </w:p>
    <w:p>
      <w:pPr>
        <w:ind w:left="580" w:hanging="290"/>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satisfy our obligations with respect to our debt, including the notes, may be adversely affected;</w:t>
      </w:r>
    </w:p>
    <w:p>
      <w:pPr>
        <w:spacing w:after="0" w:line="205" w:lineRule="exact"/>
        <w:rPr>
          <w:rFonts w:ascii="Times New Roman" w:cs="Times New Roman" w:eastAsia="Times New Roman" w:hAnsi="Times New Roman"/>
          <w:sz w:val="16"/>
          <w:szCs w:val="16"/>
          <w:color w:val="auto"/>
        </w:rPr>
      </w:pPr>
    </w:p>
    <w:p>
      <w:pPr>
        <w:ind w:left="580" w:hanging="290"/>
        <w:spacing w:after="0" w:line="288"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more vulnerable to adverse economic and general industry conditions, including interest rate fluctuations, because a portion of The William Carter Company's ("TWCC") borrowings are at variable rates of interest;</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make strategic acquisitions or be required to make non-strategic divestitures;</w:t>
      </w:r>
    </w:p>
    <w:p>
      <w:pPr>
        <w:spacing w:after="0" w:line="205" w:lineRule="exact"/>
        <w:rPr>
          <w:rFonts w:ascii="Times New Roman" w:cs="Times New Roman" w:eastAsia="Times New Roman" w:hAnsi="Times New Roman"/>
          <w:sz w:val="16"/>
          <w:szCs w:val="16"/>
          <w:color w:val="auto"/>
        </w:rPr>
      </w:pPr>
    </w:p>
    <w:p>
      <w:pPr>
        <w:ind w:left="580" w:hanging="290"/>
        <w:spacing w:after="0" w:line="288"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financing for working capital, capital expenditures, acquisitions, debt service requirements or general corporate or other purposes may be limited;</w:t>
      </w:r>
    </w:p>
    <w:p>
      <w:pPr>
        <w:spacing w:after="0" w:line="142" w:lineRule="exact"/>
        <w:rPr>
          <w:rFonts w:ascii="Times New Roman" w:cs="Times New Roman" w:eastAsia="Times New Roman" w:hAnsi="Times New Roman"/>
          <w:sz w:val="16"/>
          <w:szCs w:val="16"/>
          <w:color w:val="auto"/>
        </w:rPr>
      </w:pPr>
    </w:p>
    <w:p>
      <w:pPr>
        <w:ind w:left="580" w:hanging="290"/>
        <w:spacing w:after="0" w:line="288"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cash flow from operations must be dedicated to the payment of principal and interest on our debt, thereby reducing our ability to use that cash flow to fund our operations, capital expenditures, and future business opportunities;</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be more difficult for us to satisfy our obligations to our creditors, resulting in possible defaults on and acceleration of such debt;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533" w:right="239" w:bottom="1440" w:gutter="0" w:footer="0" w:header="0"/>
        </w:sectPr>
      </w:pPr>
    </w:p>
    <w:bookmarkStart w:id="14" w:name="page15"/>
    <w:bookmarkEnd w:id="14"/>
    <w:p>
      <w:pPr>
        <w:ind w:left="580" w:hanging="290"/>
        <w:spacing w:after="0" w:line="288"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at a competitive disadvantage compared to our competitors who have less debt or comparable debt at more favorable interest rates and who, as a result, may be better positioned to withstand economic downturns or to finance capital expenditures or acquisitions;</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costs of borrowing may increase;</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refinance our debt on terms as favorable as our existing debt or at all; and</w:t>
      </w:r>
    </w:p>
    <w:p>
      <w:pPr>
        <w:spacing w:after="0" w:line="205" w:lineRule="exact"/>
        <w:rPr>
          <w:rFonts w:ascii="Times New Roman" w:cs="Times New Roman" w:eastAsia="Times New Roman" w:hAnsi="Times New Roman"/>
          <w:sz w:val="16"/>
          <w:szCs w:val="16"/>
          <w:color w:val="auto"/>
        </w:rPr>
      </w:pPr>
    </w:p>
    <w:p>
      <w:pPr>
        <w:ind w:left="580" w:right="140" w:hanging="290"/>
        <w:spacing w:after="0" w:line="288"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flexibility to adjust to changing market conditions and our ability to withstand competitive pressures could be limited, or we may be prevented from carrying out capital spending that is necessary or important to our growth strategy and efforts to improve the operating margins of our businesses.</w:t>
      </w:r>
    </w:p>
    <w:p>
      <w:pPr>
        <w:spacing w:after="0" w:line="13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3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w:t>
      </w:r>
    </w:p>
    <w:p>
      <w:pPr>
        <w:spacing w:after="0" w:line="1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 Our secured revolving credit facility and the indenture governing the senior notes restrict our ability and the ability of our restricted subsidiaries to dispose of assets and use the proceeds from any such dispositions and also restrict our and our restricted subsidiaries’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165"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4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If we cannot make scheduled payments on our debt, we will be in default and, as a result, holders of the secured revolving credit facility could terminate their commitments to loan money and accelerate the maturity of borrowings thereunder, our secured lenders could foreclose against the assets securing such borrowings and we could be forced into bankruptcy or liquidation.</w:t>
      </w:r>
    </w:p>
    <w:p>
      <w:pPr>
        <w:spacing w:after="0" w:line="152"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terms of our secured revolving credit facility and the indenture governing the senior notes contain restrictions and limitations that could significantly impact our management’s flexibility or our financial and operational flexibility to operate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secured revolving credit facility contains certain restrictive covenants that, among other things, restrict TWCC and certain of its subsidiaries’ ability to:</w:t>
      </w:r>
    </w:p>
    <w:p>
      <w:pPr>
        <w:spacing w:after="0" w:line="206" w:lineRule="exact"/>
        <w:rPr>
          <w:sz w:val="20"/>
          <w:szCs w:val="20"/>
          <w:color w:val="auto"/>
        </w:rPr>
      </w:pPr>
    </w:p>
    <w:p>
      <w:pPr>
        <w:ind w:left="580" w:hanging="290"/>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assume or guarantee additional indebtedness;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disqualified stock and preferred stock;</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or make distributions or other restricted payments;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or repurchase capital stock;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342" w:right="239" w:bottom="1440" w:gutter="0" w:footer="0" w:header="0"/>
        </w:sectPr>
      </w:pPr>
    </w:p>
    <w:bookmarkStart w:id="15" w:name="page16"/>
    <w:bookmarkEnd w:id="15"/>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debt;</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loans and investments (including joint ventures);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liens;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dividends, loans or asset transfers from TWCC’s subsidiaries;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otherwise dispose of assets, including capital stock of subsidiaries;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or merge with or into, or sell substantially all of TWCC’s assets to, another person;</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subsidiaries as unrestricted subsidiaries;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sale and leaseback transactions;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new lines of business.</w:t>
      </w:r>
    </w:p>
    <w:p>
      <w:pPr>
        <w:spacing w:after="0" w:line="20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In addition, our secured revolving credit facility requires us to maintain specified financial ratios and satisfy other financial condition tests. Our ability to meet those financial ratios and tests can be affected by events beyond our control, and we cannot assure you that it will meet them.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 governing the senior notes contains certain restrictive covenants that, among other things, restrict us and certain of our subsidiaries’ ability to:</w:t>
      </w:r>
    </w:p>
    <w:p>
      <w:pPr>
        <w:spacing w:after="0" w:line="206" w:lineRule="exact"/>
        <w:rPr>
          <w:sz w:val="20"/>
          <w:szCs w:val="20"/>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assume or guarantee additional indebtedness;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or make distributions or other restricted payments;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loans and investments (including joint ventures);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liens;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otherwise dispose of assets, including capital stock of subsidiaries;</w:t>
      </w:r>
    </w:p>
    <w:p>
      <w:pPr>
        <w:spacing w:after="0" w:line="205" w:lineRule="exact"/>
        <w:rPr>
          <w:rFonts w:ascii="Times New Roman" w:cs="Times New Roman" w:eastAsia="Times New Roman" w:hAnsi="Times New Roman"/>
          <w:sz w:val="16"/>
          <w:szCs w:val="16"/>
          <w:color w:val="auto"/>
        </w:rPr>
      </w:pPr>
    </w:p>
    <w:p>
      <w:pPr>
        <w:ind w:left="580" w:right="280" w:hanging="290"/>
        <w:spacing w:after="0" w:line="288"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restrictions on the payment of dividends or other amounts to TWCC or TWCC's subsidiaries that are guarantors of the senior notes from certain subsidiaries that are not guarantors of the senior notes;</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or merge with or into, or sell substantially all of TWCC’s assets to, another person;</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subsidiaries as unrestricted subsidiaries;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restrictions in the indenture that govern the senior notes or under our secured revolving credit facilities may limit our ability to engage in acts that may be in our long-term best interests, and may make it difficult for us to execute our business strategy successfully or effectively compete with companies that are not similarly restricted. We may also incur future debt obligations that might subject us to additional restrictive covenants that could affect our financial and operational flexibility.</w:t>
      </w:r>
    </w:p>
    <w:p>
      <w:pPr>
        <w:spacing w:after="0" w:line="1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A breach of the covenants under the indenture that governs the senior notes or under the secured revolving credit facility could result in an event of default under the applicable indebtedness. Such default may allow the holders to accelerate the related debt and may result in the acceleration of any other debt to which a cross-acceleration or cross-default provision applies. In addition, an event of default under the secured revolving credit facility would permit the lenders under the secured revolving credit facility to terminate all commitments to extend further credit under that facility.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342" w:right="239" w:bottom="1440" w:gutter="0" w:footer="0" w:header="0"/>
        </w:sectPr>
      </w:pPr>
    </w:p>
    <w:bookmarkStart w:id="16" w:name="page17"/>
    <w:bookmarkEnd w:id="16"/>
    <w:p>
      <w:pPr>
        <w:ind w:right="100"/>
        <w:spacing w:after="0" w:line="265" w:lineRule="auto"/>
        <w:rPr>
          <w:sz w:val="20"/>
          <w:szCs w:val="20"/>
          <w:color w:val="auto"/>
        </w:rPr>
      </w:pPr>
      <w:r>
        <w:rPr>
          <w:rFonts w:ascii="Times New Roman" w:cs="Times New Roman" w:eastAsia="Times New Roman" w:hAnsi="Times New Roman"/>
          <w:sz w:val="16"/>
          <w:szCs w:val="16"/>
          <w:color w:val="auto"/>
        </w:rPr>
        <w:t>If our operating performance declines, we may need to seek waivers from the holders of our indebtedness to avoid being in default under the instruments governing such indebtedness. If we breach our covenants under our indebtedness, we may not be able to obtain a waiver from the holders of such indebtedness on terms acceptable to us or at all. If this occurs, we would be in default under such indebtedness, the holders of such indebtedness and other lenders could exercise their rights as described above, and we could be forced into bankruptcy or liquidation.</w:t>
      </w:r>
    </w:p>
    <w:p>
      <w:pPr>
        <w:spacing w:after="0" w:line="16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6"/>
          <w:szCs w:val="16"/>
          <w:color w:val="auto"/>
        </w:rPr>
        <w:t>Furthermore, if we were unable to repay the amounts due and payable under our senior secured revolving credit facility, those lenders could proceed against the collateral granted to them to secure that indebtedness. In the event our lenders or holders of senior notes accelerate the repayment of our borrowings, we cannot assure that we would have sufficient assets to repay such indebtedness.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Company's success is dependent upon retaining key individuals within the organization to execute the Company's strategic plan.</w:t>
      </w:r>
    </w:p>
    <w:p>
      <w:pPr>
        <w:spacing w:after="0" w:line="21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Company's ability to attract and retain qualified executive management, marketing, merchandising, design, sourcing, operations, and support function staffing is key to the Company's success. If the Company were unable to attract and retain qualified individuals in these areas, an adverse impact on the Company's growth and results of operations may result. Our inability to retain personnel as a result of our recent office consolidation or otherwise could cause us to experience business disruption due to a loss of historical knowledge and a lack of business continuity and may adversely affect our results of operations, financial position,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implement needed upgrades to our information technology systems could adversely affect our business.</w:t>
      </w:r>
    </w:p>
    <w:p>
      <w:pPr>
        <w:spacing w:after="0" w:line="210"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6"/>
          <w:szCs w:val="16"/>
          <w:color w:val="auto"/>
        </w:rPr>
        <w:t>As our business grows in size, complexity, and geography, we expect our information technology infrastructure to be in regular need of enhancement and upgrades. Failure to upgrade as needed or complications encountered in upgrading systems could cause disruptions that may adversely affect our business results or operations. Further, additional investment needed to upgrade and expand our information technology infrastructure could require significant investment of additional resources and capital.</w:t>
      </w:r>
    </w:p>
    <w:p>
      <w:pPr>
        <w:spacing w:after="0" w:line="15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may not effectively transition our distribution functions to our new Braselton, Georgia facility. If we encounter problems with our distribution facilities, our ability to deliver our products to the market could be adversely affected and expected efficiencies may not be realized.</w:t>
      </w:r>
    </w:p>
    <w:p>
      <w:pPr>
        <w:spacing w:after="0" w:line="13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If we are unsuccessful in timely or effectively transitioning our distribution functions to this facility, we may not achieve planned efficiency improvements and may not have sufficient distribution capacity, which could cause sales to decline and costs to increase and could have a material adverse effect on our results of operations. In addition, our new distribution facilities in Braselton, Georgia are expected to be more complex to operate than our current facilities and we may face difficulty in hiring and training needed personnel. Our ability to meet customer expectations, manage inventory, complete sales, and achieve objectives for operating efficiencies depends on the proper operation of this facility. Disruptions could adversely affect our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expanding into international markets.</w:t>
      </w:r>
    </w:p>
    <w:p>
      <w:pPr>
        <w:spacing w:after="0" w:line="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do not have significant experience operating in markets outside of the United States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Any of these challenges could hinder our success in new markets. Our entry into new markets may have upfront investment costs that may not be accompanied by sufficient revenues to achieve typical or expected operational and financial performance and such costs may be greater than expected. We cannot be sure that we can successfully complete any planned expansion or that new international business will be profitable or meet our expectations. If our international expansion plans are unsuccessful, our results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conduct business in international markets may be affected by legal, regulatory, political, and economic risks.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ability to conduct business in new and existing international markets is subject to legal, regulatory, political, and economic risks. These include: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00"/>
          </w:cols>
          <w:pgMar w:left="240" w:top="342" w:right="259" w:bottom="1440" w:gutter="0" w:footer="0" w:header="0"/>
        </w:sectPr>
      </w:pPr>
    </w:p>
    <w:bookmarkStart w:id="17" w:name="page18"/>
    <w:bookmarkEnd w:id="17"/>
    <w:p>
      <w:pPr>
        <w:ind w:left="580" w:hanging="290"/>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burdens of complying with foreign laws and regulations, including trade and labor restrictions;</w:t>
      </w:r>
    </w:p>
    <w:p>
      <w:pPr>
        <w:spacing w:after="0" w:line="205" w:lineRule="exact"/>
        <w:rPr>
          <w:rFonts w:ascii="Times New Roman" w:cs="Times New Roman" w:eastAsia="Times New Roman" w:hAnsi="Times New Roman"/>
          <w:sz w:val="16"/>
          <w:szCs w:val="16"/>
          <w:color w:val="auto"/>
        </w:rPr>
      </w:pPr>
    </w:p>
    <w:p>
      <w:pPr>
        <w:ind w:left="580" w:hanging="290"/>
        <w:spacing w:after="0" w:line="288"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regulatory requirements;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tariffs or other barriers in some international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also subject to general political and economic risks in connection with our international operations, including:</w:t>
      </w:r>
    </w:p>
    <w:p>
      <w:pPr>
        <w:spacing w:after="0" w:line="206" w:lineRule="exact"/>
        <w:rPr>
          <w:sz w:val="20"/>
          <w:szCs w:val="20"/>
          <w:color w:val="auto"/>
        </w:rPr>
      </w:pPr>
    </w:p>
    <w:p>
      <w:pPr>
        <w:ind w:left="580" w:hanging="29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and terrorist attacks;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business culture;</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laws governing relationships with employees and business partners;</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 and</w:t>
      </w:r>
    </w:p>
    <w:p>
      <w:pPr>
        <w:spacing w:after="0" w:line="20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fluctuations in specific countries or markets.</w:t>
      </w:r>
    </w:p>
    <w:p>
      <w:pPr>
        <w:spacing w:after="0" w:line="8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We cannot predict whether quotas, duties, taxes, or other similar restrictions will be imposed by the U.S. or foreign countries upon the import or export of our products in the future, or what effect any of these actions would have, if any, on our business, financial condition, or results of operations. Changes in regulatory, geopolitical, social or economic policies, and other factors may have a material adverse effect on our business in the future or may require us to exit a particular market or significantly modify our current business practices.</w:t>
      </w:r>
    </w:p>
    <w:p>
      <w:pPr>
        <w:spacing w:after="0" w:line="231"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Company's future success and growth through expansion of its international operations could be adversely affected by violations of the United States Foreign Corrupt Practices Act and similar world-wide anti-bribery laws.</w:t>
      </w:r>
    </w:p>
    <w:p>
      <w:pPr>
        <w:spacing w:after="0" w:line="1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The United States Foreign Corrupt Practices Act, and similar world-wide anti-bribery laws prohibit companies and their intermediaries from making improper payments to non-United States officials for the purpose of obtaining or retaining business. The Company's policies mandate compliance with anti-bribery laws. The Company cannot provide assurance that our internal control policies and procedures, or those of our vendors, will protect from reckless or criminal acts committed by the Company's employees, agents, or vendors. Violations of these laws, or allegations of such violations, could disrupt the business and result in a material adverse effect on the Company's financial condition, results of operations, and cash flows.</w:t>
      </w:r>
    </w:p>
    <w:p>
      <w:pPr>
        <w:spacing w:after="0" w:line="30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Company is subject to various claims and pending or threatened lawsuits, and, as a result, may incur substantial costs that adversely affect the Company's business, financial condition and results of operations.</w:t>
      </w:r>
    </w:p>
    <w:p>
      <w:pPr>
        <w:spacing w:after="0" w:line="13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6"/>
          <w:szCs w:val="16"/>
          <w:color w:val="auto"/>
        </w:rPr>
        <w:t>The Company is subject to various claims and pending or threatened lawsuits in the course of its business. In the event we are required or determine to pay amounts in connection with any such lawsuits, such amounts could be significant and could have a material adverse impact on our business, financial condition and results of operations.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continue to pay quarterly cash dividends to our shareholders could cause the market price for our common stock to decline.</w:t>
      </w:r>
    </w:p>
    <w:p>
      <w:pPr>
        <w:spacing w:after="0" w:line="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color w:val="auto"/>
        </w:rPr>
        <w:t>The Company has initiated a quarterly cash dividend and has declared and paid cash dividends of $0.16 per share to holders of record as of May 31, 2013, September 3, 2013 and November 29, 2013. Provisions in our senior credit facility and the indenture governing our senior notes could have the effect of restricting our ability to pay future cash dividends on, or make future repurchases of, our common stock. Additionally, future declarations of quarterly cash dividends and the establishment of future record and payment dates are at the discretion of the Company's Board of Directors based on a number of factors, including the Company's future financial performance and other investment priorities. Any reduction or discontinuance by us of the payment of quarterly cash dividends could cause the market price of our common stock to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48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219"/>
          </w:cols>
          <w:pgMar w:left="240" w:top="535" w:right="1440" w:bottom="1440" w:gutter="0" w:footer="0" w:header="0"/>
        </w:sectPr>
      </w:pPr>
    </w:p>
    <w:bookmarkStart w:id="19" w:name="page20"/>
    <w:bookmarkEnd w:id="19"/>
    <w:p>
      <w:pPr>
        <w:ind w:left="3"/>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We lease space for retail stores, showrooms, distribution centers, and offices, principally in the U.S. and Canada. The majority of our premises are leased.</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following sets forth information with respect to our key properties: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Approx. floor</w:t>
            </w: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space in square</w:t>
            </w: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3"/>
        </w:trPr>
        <w:tc>
          <w:tcPr>
            <w:tcW w:w="20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feet</w:t>
            </w:r>
          </w:p>
        </w:tc>
        <w:tc>
          <w:tcPr>
            <w:tcW w:w="6400" w:type="dxa"/>
            <w:vAlign w:val="bottom"/>
            <w:gridSpan w:val="2"/>
          </w:tcPr>
          <w:p>
            <w:pPr>
              <w:ind w:left="2700"/>
              <w:spacing w:after="0"/>
              <w:rPr>
                <w:sz w:val="20"/>
                <w:szCs w:val="20"/>
                <w:color w:val="auto"/>
              </w:rPr>
            </w:pPr>
            <w:r>
              <w:rPr>
                <w:rFonts w:ascii="Times New Roman" w:cs="Times New Roman" w:eastAsia="Times New Roman" w:hAnsi="Times New Roman"/>
                <w:sz w:val="16"/>
                <w:szCs w:val="16"/>
                <w:b w:val="1"/>
                <w:bCs w:val="1"/>
                <w:color w:val="auto"/>
              </w:rPr>
              <w:t>Principal use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 expiration date</w:t>
            </w:r>
          </w:p>
        </w:tc>
      </w:tr>
      <w:tr>
        <w:trPr>
          <w:trHeight w:val="25"/>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Braselton,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1,062,000</w:t>
            </w:r>
          </w:p>
        </w:tc>
        <w:tc>
          <w:tcPr>
            <w:tcW w:w="100" w:type="dxa"/>
            <w:vAlign w:val="bottom"/>
            <w:tcBorders>
              <w:bottom w:val="single" w:sz="8" w:color="CCEEFF"/>
            </w:tcBorders>
            <w:shd w:val="clear" w:color="auto" w:fill="CCEEFF"/>
          </w:tcPr>
          <w:p>
            <w:pPr>
              <w:spacing w:after="0"/>
              <w:rPr>
                <w:sz w:val="18"/>
                <w:szCs w:val="18"/>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2026</w:t>
            </w:r>
          </w:p>
        </w:tc>
      </w:tr>
      <w:tr>
        <w:trPr>
          <w:trHeight w:val="21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Stockbridge, Georgia</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505,000</w:t>
            </w:r>
          </w:p>
        </w:tc>
        <w:tc>
          <w:tcPr>
            <w:tcW w:w="10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Distribution/warehousing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2015</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Chino, California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Distribution/warehousing </w:t>
            </w:r>
            <w:r>
              <w:rPr>
                <w:rFonts w:ascii="Times New Roman" w:cs="Times New Roman" w:eastAsia="Times New Roman" w:hAnsi="Times New Roman"/>
                <w:sz w:val="16"/>
                <w:szCs w:val="16"/>
                <w:i w:val="1"/>
                <w:iCs w:val="1"/>
                <w:color w:val="auto"/>
              </w:rPr>
              <w:t>(1)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2015</w:t>
            </w:r>
          </w:p>
        </w:tc>
      </w:tr>
      <w:tr>
        <w:trPr>
          <w:trHeight w:val="20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Phipps Tower, Atlanta,</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7"/>
                <w:szCs w:val="17"/>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Corporate headquarters </w:t>
            </w:r>
            <w:r>
              <w:rPr>
                <w:rFonts w:ascii="Times New Roman" w:cs="Times New Roman" w:eastAsia="Times New Roman" w:hAnsi="Times New Roman"/>
                <w:sz w:val="16"/>
                <w:szCs w:val="16"/>
                <w:i w:val="1"/>
                <w:iCs w:val="1"/>
                <w:color w:val="auto"/>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2030</w:t>
            </w:r>
          </w:p>
        </w:tc>
      </w:tr>
      <w:tr>
        <w:trPr>
          <w:trHeight w:val="211"/>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Griffin,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Finance/information technology/benefits administration/rework</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1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Cambridge, Ontario</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179,000</w:t>
            </w:r>
          </w:p>
        </w:tc>
        <w:tc>
          <w:tcPr>
            <w:tcW w:w="10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Distribution/warehousing </w:t>
            </w:r>
            <w:r>
              <w:rPr>
                <w:rFonts w:ascii="Times New Roman" w:cs="Times New Roman" w:eastAsia="Times New Roman" w:hAnsi="Times New Roman"/>
                <w:sz w:val="16"/>
                <w:szCs w:val="16"/>
                <w:i w:val="1"/>
                <w:iCs w:val="1"/>
                <w:color w:val="auto"/>
              </w:rPr>
              <w:t>(3)</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2020</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Cambridge, Ontario</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Canadian corporate offices/distribution/warehousing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2021</w:t>
            </w:r>
          </w:p>
        </w:tc>
      </w:tr>
      <w:tr>
        <w:trPr>
          <w:trHeight w:val="21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Fayetteville, Georgia</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Wholesale customer service/information technology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2020</w:t>
            </w:r>
          </w:p>
        </w:tc>
      </w:tr>
    </w:tbl>
    <w:p>
      <w:pPr>
        <w:spacing w:after="0" w:line="11" w:lineRule="exact"/>
        <w:rPr>
          <w:sz w:val="20"/>
          <w:szCs w:val="20"/>
          <w:color w:val="auto"/>
        </w:rPr>
      </w:pPr>
    </w:p>
    <w:p>
      <w:pPr>
        <w:ind w:left="203" w:hanging="203"/>
        <w:spacing w:after="0"/>
        <w:tabs>
          <w:tab w:leader="none" w:pos="203"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This space is leased and operated by a third party service provider.</w:t>
      </w:r>
    </w:p>
    <w:p>
      <w:pPr>
        <w:spacing w:after="0" w:line="15" w:lineRule="exact"/>
        <w:rPr>
          <w:rFonts w:ascii="Times New Roman" w:cs="Times New Roman" w:eastAsia="Times New Roman" w:hAnsi="Times New Roman"/>
          <w:sz w:val="15"/>
          <w:szCs w:val="15"/>
          <w:i w:val="1"/>
          <w:iCs w:val="1"/>
          <w:color w:val="auto"/>
        </w:rPr>
      </w:pPr>
    </w:p>
    <w:p>
      <w:pPr>
        <w:ind w:left="203" w:hanging="203"/>
        <w:spacing w:after="0" w:line="237" w:lineRule="auto"/>
        <w:tabs>
          <w:tab w:leader="none" w:pos="203"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amount of space occupied will increase to approximately 292,000 square feet by 2015.</w:t>
      </w:r>
    </w:p>
    <w:p>
      <w:pPr>
        <w:ind w:left="203" w:hanging="203"/>
        <w:spacing w:after="0"/>
        <w:tabs>
          <w:tab w:leader="none" w:pos="203"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amount of space occupied will increase to approximately 277,000 square feet in April 2014.</w:t>
      </w:r>
    </w:p>
    <w:p>
      <w:pPr>
        <w:spacing w:after="0" w:line="148" w:lineRule="exact"/>
        <w:rPr>
          <w:sz w:val="20"/>
          <w:szCs w:val="20"/>
          <w:color w:val="auto"/>
        </w:rPr>
      </w:pPr>
    </w:p>
    <w:p>
      <w:pPr>
        <w:ind w:left="3" w:right="340"/>
        <w:spacing w:after="0" w:line="288" w:lineRule="auto"/>
        <w:rPr>
          <w:sz w:val="20"/>
          <w:szCs w:val="20"/>
          <w:color w:val="auto"/>
        </w:rPr>
      </w:pPr>
      <w:r>
        <w:rPr>
          <w:rFonts w:ascii="Times New Roman" w:cs="Times New Roman" w:eastAsia="Times New Roman" w:hAnsi="Times New Roman"/>
          <w:sz w:val="16"/>
          <w:szCs w:val="16"/>
          <w:color w:val="auto"/>
        </w:rPr>
        <w:t>At December 28, 2013, we operated 657 leased retail stores, across the United States. In addition, we operated 102 leased retail stores in Canada. The majority of our lease terms range between five to ten years.</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44" w:lineRule="exact"/>
        <w:rPr>
          <w:sz w:val="20"/>
          <w:szCs w:val="20"/>
          <w:color w:val="auto"/>
        </w:rPr>
      </w:pPr>
    </w:p>
    <w:p>
      <w:pPr>
        <w:ind w:left="3" w:right="720"/>
        <w:spacing w:after="0" w:line="288" w:lineRule="auto"/>
        <w:rPr>
          <w:sz w:val="20"/>
          <w:szCs w:val="20"/>
          <w:color w:val="auto"/>
        </w:rPr>
      </w:pPr>
      <w:r>
        <w:rPr>
          <w:rFonts w:ascii="Times New Roman" w:cs="Times New Roman" w:eastAsia="Times New Roman" w:hAnsi="Times New Roman"/>
          <w:sz w:val="16"/>
          <w:szCs w:val="16"/>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Not applicable.</w:t>
      </w:r>
    </w:p>
    <w:p>
      <w:pPr>
        <w:spacing w:after="0" w:line="23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43"/>
          </w:cols>
          <w:pgMar w:left="237" w:top="535" w:right="2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MATTERS, AND ISSUER PURCHASES OF EQUITY SECURITIES</w:t>
      </w:r>
    </w:p>
    <w:p>
      <w:pPr>
        <w:spacing w:after="0" w:line="190"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6"/>
          <w:szCs w:val="16"/>
          <w:color w:val="auto"/>
        </w:rPr>
        <w:t>Our common stock trades on the New York Stock Exchange under the symbol CRI. The last reported sale price per share of our common stock on February 21, 2014 was $67.89. On that date there were approximately 200 holders of record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for the periods indicated the high and low sales prices per share of common stock as reported by the New York Stock Exchange: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60.84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55.55</w:t>
            </w:r>
          </w:p>
        </w:tc>
      </w:tr>
      <w:tr>
        <w:trPr>
          <w:trHeight w:val="21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Second quarter</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56.84</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68.02</w:t>
            </w:r>
          </w:p>
        </w:tc>
      </w:tr>
      <w:tr>
        <w:trPr>
          <w:trHeight w:val="21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Fourth quarter</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76.87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68.00</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38.66</w:t>
            </w:r>
          </w:p>
        </w:tc>
      </w:tr>
      <w:tr>
        <w:trPr>
          <w:trHeight w:val="21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Second quarter</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57.27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47.95</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57.62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48.67</w:t>
            </w:r>
          </w:p>
        </w:tc>
      </w:tr>
      <w:tr>
        <w:trPr>
          <w:trHeight w:val="21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Fourth quarter</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56.10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49.61</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208"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6"/>
          <w:szCs w:val="16"/>
          <w:color w:val="auto"/>
        </w:rPr>
        <w:t>The following table provides information about shares acquired from employees during the fourth quarter of fiscal 2013 to satisfy the required withholding of taxes in connection with the vesting of restricted stock: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 value of shares</w:t>
            </w:r>
          </w:p>
        </w:tc>
      </w:t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that may</w:t>
            </w:r>
          </w:p>
        </w:tc>
      </w:t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yet be</w:t>
            </w:r>
          </w:p>
        </w:tc>
      </w:t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2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the plans</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programs</w:t>
            </w:r>
          </w:p>
        </w:tc>
      </w:tr>
      <w:tr>
        <w:trPr>
          <w:trHeight w:val="25"/>
        </w:trPr>
        <w:tc>
          <w:tcPr>
            <w:tcW w:w="4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3"/>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29, 2013 through October 26, 2013</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267,235,052</w:t>
            </w:r>
          </w:p>
        </w:tc>
      </w:tr>
      <w:tr>
        <w:trPr>
          <w:trHeight w:val="146"/>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27, 2013 through November 23, 2013</w:t>
            </w:r>
          </w:p>
        </w:tc>
        <w:tc>
          <w:tcPr>
            <w:tcW w:w="17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267,175,911</w:t>
            </w:r>
          </w:p>
        </w:tc>
      </w:tr>
      <w:tr>
        <w:trPr>
          <w:trHeight w:val="146"/>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24, 2013 through December 28, 2013</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267,175,911</w:t>
            </w:r>
          </w:p>
        </w:tc>
      </w:tr>
      <w:tr>
        <w:trPr>
          <w:trHeight w:val="170"/>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r>
      <w:tr>
        <w:trPr>
          <w:trHeight w:val="229"/>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All of the shares were surrendered by our employees to satisfy required tax withholding upon the vesting of restricted stock awards.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Repurchase Program</w:t>
      </w:r>
    </w:p>
    <w:p>
      <w:pPr>
        <w:spacing w:after="0" w:line="20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6"/>
          <w:szCs w:val="16"/>
          <w:color w:val="auto"/>
        </w:rPr>
        <w:t>In the second quarter of fiscal 2013, our Board of Directors authorized the repurchase of shares in an amount up to $300 million, inclusive of amounts remaining under previous authorizations. In the third quarter of 2013, our Board approved an additional $400 million share repurchase authorization. The total remaining capacity under the repurchase authorizations as of December 28, 2013, was approximately $267.2 million. The authorizations have no expiration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40"/>
          </w:cols>
          <w:pgMar w:left="240" w:top="340"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color w:val="auto"/>
        </w:rPr>
        <w:t>Open Market Purchases</w:t>
      </w:r>
    </w:p>
    <w:p>
      <w:pPr>
        <w:spacing w:after="0" w:line="208"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6"/>
          <w:szCs w:val="16"/>
          <w:color w:val="auto"/>
        </w:rPr>
        <w:t>During the fiscal year ended December 28, 2013, we repurchased and retired 816,402 shares with an average share price of $66.31 for an aggregate cost of approximately $54.1 million, in open market transactions.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Accelerated Stock Repurchase Program</w:t>
      </w:r>
    </w:p>
    <w:p>
      <w:pPr>
        <w:spacing w:after="0" w:line="20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6"/>
          <w:szCs w:val="16"/>
          <w:color w:val="auto"/>
        </w:rPr>
        <w:t>On August 29, 2013, we entered into a $300 million fixed dollar uncollared accelerated stock repurchase agreement (the “Uncollared ASR Agreement”) and a $100 million fixed dollar collared accelerated stock repurchase agreement (the “Collared ASR Agreement”), each with JPMorgan Chase Bank, N. A. ("JPMorgan").</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Under the Uncollared ASR Agreement, we paid $300 million from cash on hand to JPMorgan to repurchase outstanding shares of our common stock. Under the Collared ASR Agreement, we paid $100 million from cash on hand to JPMorgan to repurchase outstanding shares of our common stock. As of December 28, 2013, JPMorgan had delivered approximately 4.6 million shares to us with a fair market value, at trade date, of approximately $328.4 million. On January 27, 2014, JPMorgan delivered approximately one million shares to us, with a fair market value of approximately $70.3 million, as part of the final settlement of the ASR Agreements. All shares received under the ASR Agreements were retired upon receipt.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In the second, third and fourth fiscal quarters of 2013, our Board of Directors authorized quarterly cash dividends of $0.16 per share. The dividends were paid during the fiscal quarter in which they were declared.</w:t>
      </w:r>
    </w:p>
    <w:p>
      <w:pPr>
        <w:spacing w:after="0" w:line="14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6"/>
          <w:szCs w:val="16"/>
          <w:color w:val="auto"/>
        </w:rPr>
        <w:t>Provisions in the Company's secured revolving credit facility and indenture governing its senior notes could have the effect of restricting the Company's ability to pay future cash dividends on or make future repurchases of its common stock.</w:t>
      </w:r>
    </w:p>
    <w:p>
      <w:pPr>
        <w:spacing w:after="0" w:line="143"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6"/>
          <w:szCs w:val="16"/>
          <w:color w:val="auto"/>
        </w:rPr>
        <w:t>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360"/>
          </w:cols>
          <w:pgMar w:left="240" w:top="34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ITEM 6. SELECTED FINANCIAL DATA</w:t>
      </w:r>
    </w:p>
    <w:p>
      <w:pPr>
        <w:spacing w:after="0" w:line="21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auto"/>
        </w:rPr>
        <w:t>The following selected financial and other data has been derived from our consolidated financial statements for each of the five years presented. The following information should be read in conjunction with Item 7 "Management's Discussion and Analysis of Financial Condition and Results of Operations" and Item 8 "Financial Statements and Supplementary Data," which includes the consolidated financial statements and related notes appearing elsewhere in this Annual Report on Form 10-K, or the respective prior fiscal years' Form 10-K. Certain prior year amounts have been reclassified to facilitate comparability with current year presentation.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6"/>
              </w:rPr>
              <w:t>For the fiscal years ended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January 2,</w:t>
            </w:r>
          </w:p>
        </w:tc>
        <w:tc>
          <w:tcPr>
            <w:tcW w:w="0" w:type="dxa"/>
            <w:vAlign w:val="bottom"/>
          </w:tcPr>
          <w:p>
            <w:pPr>
              <w:spacing w:after="0"/>
              <w:rPr>
                <w:sz w:val="1"/>
                <w:szCs w:val="1"/>
                <w:color w:val="auto"/>
              </w:rPr>
            </w:pPr>
          </w:p>
        </w:tc>
      </w:tr>
      <w:tr>
        <w:trPr>
          <w:trHeight w:val="192"/>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 except per share data)</w:t>
            </w:r>
          </w:p>
        </w:tc>
        <w:tc>
          <w:tcPr>
            <w:tcW w:w="180" w:type="dxa"/>
            <w:vAlign w:val="bottom"/>
          </w:tcPr>
          <w:p>
            <w:pPr>
              <w:spacing w:after="0"/>
              <w:rPr>
                <w:sz w:val="16"/>
                <w:szCs w:val="16"/>
                <w:color w:val="auto"/>
              </w:rPr>
            </w:pPr>
          </w:p>
        </w:tc>
        <w:tc>
          <w:tcPr>
            <w:tcW w:w="1220" w:type="dxa"/>
            <w:vAlign w:val="bottom"/>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December 29, 2012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January 1, 2011</w:t>
            </w:r>
          </w:p>
        </w:tc>
        <w:tc>
          <w:tcPr>
            <w:tcW w:w="220" w:type="dxa"/>
            <w:vAlign w:val="bottom"/>
          </w:tcPr>
          <w:p>
            <w:pPr>
              <w:spacing w:after="0"/>
              <w:rPr>
                <w:sz w:val="16"/>
                <w:szCs w:val="16"/>
                <w:color w:val="auto"/>
              </w:rPr>
            </w:pPr>
          </w:p>
        </w:tc>
        <w:tc>
          <w:tcPr>
            <w:tcW w:w="114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2010</w:t>
            </w:r>
          </w:p>
        </w:tc>
        <w:tc>
          <w:tcPr>
            <w:tcW w:w="0" w:type="dxa"/>
            <w:vAlign w:val="bottom"/>
          </w:tcPr>
          <w:p>
            <w:pPr>
              <w:spacing w:after="0"/>
              <w:rPr>
                <w:sz w:val="1"/>
                <w:szCs w:val="1"/>
                <w:color w:val="auto"/>
              </w:rPr>
            </w:pPr>
          </w:p>
        </w:tc>
      </w:tr>
      <w:tr>
        <w:trPr>
          <w:trHeight w:val="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Data:</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4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Wholesale sales - Carter's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1,035,420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981,445</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939,115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827,815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742,224</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Retail sales - Carter's</w:t>
            </w:r>
          </w:p>
        </w:tc>
        <w:tc>
          <w:tcPr>
            <w:tcW w:w="180" w:type="dxa"/>
            <w:vAlign w:val="bottom"/>
          </w:tcPr>
          <w:p>
            <w:pPr>
              <w:spacing w:after="0"/>
              <w:rPr>
                <w:sz w:val="18"/>
                <w:szCs w:val="18"/>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954,160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818,909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671,590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546,233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489,740</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Retail sales - OshKosh</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289,311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283,343</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280,900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264,887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257,289</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Wholesale sales - OshKosh</w:t>
            </w:r>
          </w:p>
        </w:tc>
        <w:tc>
          <w:tcPr>
            <w:tcW w:w="180" w:type="dxa"/>
            <w:vAlign w:val="bottom"/>
          </w:tcPr>
          <w:p>
            <w:pPr>
              <w:spacing w:after="0"/>
              <w:rPr>
                <w:sz w:val="18"/>
                <w:szCs w:val="18"/>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74,564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79,752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81,888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75,484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72,448</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285,256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218,285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136,241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34,837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27,976</w:t>
            </w:r>
          </w:p>
        </w:tc>
        <w:tc>
          <w:tcPr>
            <w:tcW w:w="0" w:type="dxa"/>
            <w:vAlign w:val="bottom"/>
          </w:tcPr>
          <w:p>
            <w:pPr>
              <w:spacing w:after="0"/>
              <w:rPr>
                <w:sz w:val="1"/>
                <w:szCs w:val="1"/>
                <w:color w:val="auto"/>
              </w:rPr>
            </w:pPr>
          </w:p>
        </w:tc>
      </w:tr>
      <w:tr>
        <w:trPr>
          <w:trHeight w:val="194"/>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net sales</w:t>
            </w:r>
          </w:p>
        </w:tc>
        <w:tc>
          <w:tcPr>
            <w:tcW w:w="1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2,638,711</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2,381,734</w:t>
            </w: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2,109,734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1,749,256</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1,589,677</w:t>
            </w:r>
          </w:p>
        </w:tc>
        <w:tc>
          <w:tcPr>
            <w:tcW w:w="0" w:type="dxa"/>
            <w:vAlign w:val="bottom"/>
          </w:tcPr>
          <w:p>
            <w:pPr>
              <w:spacing w:after="0"/>
              <w:rPr>
                <w:sz w:val="1"/>
                <w:szCs w:val="1"/>
                <w:color w:val="auto"/>
              </w:rPr>
            </w:pPr>
          </w:p>
        </w:tc>
      </w:tr>
      <w:tr>
        <w:trPr>
          <w:trHeight w:val="29"/>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 (a)</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1,095,379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937,948</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692,278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674,717</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605,171</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Operating income (b)</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264,151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261,986</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187,466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243,256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195,613</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249,465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255,391</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180,888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233,386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183,828</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160,407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161,150</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114,016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146,472</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115,640</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Per Common Share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Basic net income</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2.73</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Diluted net income</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2.69</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Working capital (c)</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701,242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713,468</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629,394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532,891</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505,051</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1,812,484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1,630,109</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1,402,709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1,257,182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1,208,599</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Total debt, including current maturities</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586,000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186,000</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236,000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236,000</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334,523</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700,731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985,479</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805,709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679,936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556,024</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209,696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278,619</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81,074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85,821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188,859</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tcPr>
          <w:p>
            <w:pPr>
              <w:spacing w:after="0"/>
              <w:rPr>
                <w:sz w:val="18"/>
                <w:szCs w:val="18"/>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220,532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83,392</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106,692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39,496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29,516</w:t>
            </w: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(84,658)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(46,317)</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11,505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(133,984)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13,349</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182,525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83,398</w:t>
            </w:r>
          </w:p>
        </w:tc>
        <w:tc>
          <w:tcPr>
            <w:tcW w:w="340" w:type="dxa"/>
            <w:vAlign w:val="bottom"/>
            <w:tcBorders>
              <w:bottom w:val="single" w:sz="8" w:color="CCEEFF"/>
            </w:tcBorders>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45,495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39,782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33,600</w:t>
            </w:r>
          </w:p>
        </w:tc>
        <w:tc>
          <w:tcPr>
            <w:tcW w:w="0" w:type="dxa"/>
            <w:vAlign w:val="bottom"/>
          </w:tcPr>
          <w:p>
            <w:pPr>
              <w:spacing w:after="0"/>
              <w:rPr>
                <w:sz w:val="1"/>
                <w:szCs w:val="1"/>
                <w:color w:val="auto"/>
              </w:rPr>
            </w:pPr>
          </w:p>
        </w:tc>
      </w:t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40"/>
          </w:cols>
          <w:pgMar w:left="240" w:top="340" w:right="219" w:bottom="1440" w:gutter="0" w:footer="0" w:header="0"/>
        </w:sectPr>
      </w:pPr>
    </w:p>
    <w:bookmarkStart w:id="23" w:name="page24"/>
    <w:bookmarkEnd w:id="23"/>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NOTES TO SELECTED FINANCIAL DATA</w:t>
      </w:r>
    </w:p>
    <w:p>
      <w:pPr>
        <w:spacing w:after="0" w:line="208" w:lineRule="exact"/>
        <w:rPr>
          <w:sz w:val="20"/>
          <w:szCs w:val="20"/>
          <w:color w:val="auto"/>
        </w:rPr>
      </w:pPr>
    </w:p>
    <w:p>
      <w:pPr>
        <w:ind w:left="660" w:hanging="563"/>
        <w:spacing w:after="0" w:line="271" w:lineRule="auto"/>
        <w:tabs>
          <w:tab w:leader="none" w:pos="36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in fiscal 2013 includes a charge of $1.1 million for the fiscal year ended December 28, 2013, related to inventory write-downs associated with the Company's exit from retail operations in Japan. Gross profit in fiscal 2011 includes $6.7 million in additional expenses related to the amortization of the fair value step-up of inventory acquired as a result of the Acquisition.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selling, general, &amp; administrative expenses were included in the calculation of operating income:</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ind w:left="660"/>
              <w:spacing w:after="0"/>
              <w:rPr>
                <w:sz w:val="20"/>
                <w:szCs w:val="20"/>
                <w:color w:val="auto"/>
              </w:rPr>
            </w:pPr>
            <w:r>
              <w:rPr>
                <w:rFonts w:ascii="Times New Roman" w:cs="Times New Roman" w:eastAsia="Times New Roman" w:hAnsi="Times New Roman"/>
                <w:sz w:val="15"/>
                <w:szCs w:val="15"/>
                <w:b w:val="1"/>
                <w:bCs w:val="1"/>
                <w:color w:val="auto"/>
              </w:rPr>
              <w:t>For the fiscal years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28,</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240" w:type="dxa"/>
            <w:vAlign w:val="bottom"/>
          </w:tcPr>
          <w:p>
            <w:pPr>
              <w:spacing w:after="0"/>
              <w:rPr>
                <w:sz w:val="16"/>
                <w:szCs w:val="16"/>
                <w:color w:val="auto"/>
              </w:rPr>
            </w:pPr>
          </w:p>
        </w:tc>
        <w:tc>
          <w:tcPr>
            <w:tcW w:w="82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2013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2011</w:t>
            </w:r>
          </w:p>
        </w:tc>
        <w:tc>
          <w:tcPr>
            <w:tcW w:w="10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January 1, 2011</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January 2, 2010</w:t>
            </w:r>
          </w:p>
        </w:tc>
        <w:tc>
          <w:tcPr>
            <w:tcW w:w="0" w:type="dxa"/>
            <w:vAlign w:val="bottom"/>
          </w:tcPr>
          <w:p>
            <w:pPr>
              <w:spacing w:after="0"/>
              <w:rPr>
                <w:sz w:val="1"/>
                <w:szCs w:val="1"/>
                <w:color w:val="auto"/>
              </w:rPr>
            </w:pPr>
          </w:p>
        </w:tc>
      </w:tr>
      <w:tr>
        <w:trPr>
          <w:trHeight w:val="2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Amortization of H.W. Carters and Sons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13,588</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4"/>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Workforce reduction, facility write-down,</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closure costs</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38,214</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9,490</w:t>
            </w:r>
          </w:p>
        </w:tc>
        <w:tc>
          <w:tcPr>
            <w:tcW w:w="10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10,771</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Investigation expenses</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21"/>
                <w:szCs w:val="21"/>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5,717</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Revaluation of contingent consideration</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8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3,589</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Acquisition-related charges</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 Represents total current assets less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0"/>
          </w:cols>
          <w:pgMar w:left="140" w:top="5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AND RESULTS OF OPERATIONS</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20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Our fiscal year ends on the Saturday, in December or January nearest the last day of December, resulting in an additional week of results every five or six years. Consistent with this policy, fiscal 2013 ended on December 28, 2013, fiscal 2012 ended on December 29, 2012, and fiscal 2011 ended on December 31, 2011. Each of these fiscal years contained 52 weeks of financial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Business</w:t>
      </w:r>
    </w:p>
    <w:p>
      <w:pPr>
        <w:spacing w:after="0" w:line="208" w:lineRule="exact"/>
        <w:rPr>
          <w:sz w:val="20"/>
          <w:szCs w:val="20"/>
          <w:color w:val="auto"/>
        </w:rPr>
      </w:pPr>
    </w:p>
    <w:p>
      <w:pPr>
        <w:ind w:right="3160"/>
        <w:spacing w:after="0" w:line="259" w:lineRule="auto"/>
        <w:rPr>
          <w:sz w:val="20"/>
          <w:szCs w:val="20"/>
          <w:color w:val="auto"/>
        </w:rPr>
      </w:pPr>
      <w:r>
        <w:rPr>
          <w:rFonts w:ascii="Times New Roman" w:cs="Times New Roman" w:eastAsia="Times New Roman" w:hAnsi="Times New Roman"/>
          <w:sz w:val="16"/>
          <w:szCs w:val="16"/>
          <w:color w:val="auto"/>
        </w:rPr>
        <w:t xml:space="preserve">We are the largest branded marketer in the United States ("U.S.") of apparel exclusively for babies and young children. We own two of the most highly recognized and most trusted brand names in the children's apparel industry,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B'gosh </w:t>
      </w:r>
      <w:r>
        <w:rPr>
          <w:rFonts w:ascii="Times New Roman" w:cs="Times New Roman" w:eastAsia="Times New Roman" w:hAnsi="Times New Roman"/>
          <w:sz w:val="16"/>
          <w:szCs w:val="16"/>
          <w:color w:val="auto"/>
        </w:rPr>
        <w:t>("OshKosh"). Established in 1865, our</w:t>
      </w:r>
      <w:r>
        <w:rPr>
          <w:rFonts w:ascii="Times New Roman" w:cs="Times New Roman" w:eastAsia="Times New Roman" w:hAnsi="Times New Roman"/>
          <w:sz w:val="16"/>
          <w:szCs w:val="16"/>
          <w:i w:val="1"/>
          <w:iCs w:val="1"/>
          <w:color w:val="auto"/>
        </w:rPr>
        <w:t xml:space="preserve"> Carter's </w:t>
      </w:r>
      <w:r>
        <w:rPr>
          <w:rFonts w:ascii="Times New Roman" w:cs="Times New Roman" w:eastAsia="Times New Roman" w:hAnsi="Times New Roman"/>
          <w:sz w:val="16"/>
          <w:szCs w:val="16"/>
          <w:color w:val="auto"/>
        </w:rPr>
        <w:t>brand is recognized and trusted by consumers for high-quality apparel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children sizes newborn to seven. Established in 1895,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is a well-known brand, trusted by consumers for its line of</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apparel for children sizes newborn to 12, with a focus on playclothes for toddlers and young children. Given each brand's product category emphasis and brand aesthetic, we believe the brands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6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 xml:space="preserve">In the U.S., our brands compete in the $18.9 billion children's apparel market, for children ages zero to seven.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was the largest brand with a 13.6% market share and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had a 2.5% market share. We offer multiple product categories, including baby, sleepwear, playclothes, and related accessories. Our distribution strategy enables us to reach a broad range of consumers across various channels, socio-economic groups, and geographic regions.</w:t>
      </w:r>
    </w:p>
    <w:p>
      <w:pPr>
        <w:spacing w:after="0" w:line="15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We distribute our products through multiple channels of distribution in the U.S. children's apparel market, which, as of December 28, 2013, includes approximately 17,000 wholesale locations (including national department stores, chain and specialty stores, and discount retailers), 657 Company-operated stores and our websites. As of December 28, 2013, we operated 476 Carter's and 181 OshKosh stores in the U.S. As of December 28, 2013, our products were sold via 102 Company-operated stores in Canada in addition to our international wholesale, licensing, and online channels.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Events</w:t>
      </w:r>
    </w:p>
    <w:p>
      <w:pPr>
        <w:spacing w:after="0" w:line="20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In the third quarter of fiscal 2013, our 100% owned subsidiary, The William Carter Company ("TWCC") issued $400 million principal amount of senior notes guaranteed by Carter's, Inc. at an interest rate of 5.25% per annum, maturing on August 15, 2021. The net proceeds from the offering were approximately $394.2 million</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In the third quarter of fiscal 2013, we entered into a $300 million fixed dollar uncollared accelerated stock repurchase agreement and a $100 million fixed dollar collared accelerated stock repurchase agreement, each with JPMorgan. Under these agreements, we paid $400 million from cash on hand to JPMorgan to repurchase outstanding shares of the Company's common stock. As of December 28, 2013, JPMorgan had delivered approximately 4.6 million shares to the Company under these agreements. The accelerated stock repurchase agreements were settled on January 27, 2014, resulting in the delivery to the Company of approximately one million shares for a total of 5.6 million shares.</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360"/>
          </w:cols>
          <w:pgMar w:left="240" w:top="340" w:right="299" w:bottom="1440" w:gutter="0" w:footer="0" w:header="0"/>
        </w:sectPr>
      </w:pPr>
    </w:p>
    <w:bookmarkStart w:id="25" w:name="page26"/>
    <w:bookmarkEnd w:id="25"/>
    <w:p>
      <w:pPr>
        <w:ind w:right="220"/>
        <w:spacing w:after="0" w:line="291" w:lineRule="auto"/>
        <w:rPr>
          <w:sz w:val="20"/>
          <w:szCs w:val="20"/>
          <w:color w:val="auto"/>
        </w:rPr>
      </w:pPr>
      <w:r>
        <w:rPr>
          <w:rFonts w:ascii="Times New Roman" w:cs="Times New Roman" w:eastAsia="Times New Roman" w:hAnsi="Times New Roman"/>
          <w:sz w:val="16"/>
          <w:szCs w:val="16"/>
          <w:color w:val="auto"/>
        </w:rPr>
        <w:t xml:space="preserve">In the second quarter of fiscal 2013, we acquired worldwide rights to the </w:t>
      </w:r>
      <w:r>
        <w:rPr>
          <w:rFonts w:ascii="Times New Roman" w:cs="Times New Roman" w:eastAsia="Times New Roman" w:hAnsi="Times New Roman"/>
          <w:sz w:val="16"/>
          <w:szCs w:val="16"/>
          <w:i w:val="1"/>
          <w:iCs w:val="1"/>
          <w:color w:val="auto"/>
        </w:rPr>
        <w:t>Carter's Watch the Wear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H.W. Carter &amp; Sons</w:t>
      </w:r>
      <w:r>
        <w:rPr>
          <w:rFonts w:ascii="Times New Roman" w:cs="Times New Roman" w:eastAsia="Times New Roman" w:hAnsi="Times New Roman"/>
          <w:sz w:val="16"/>
          <w:szCs w:val="16"/>
          <w:color w:val="auto"/>
        </w:rPr>
        <w:t xml:space="preserve"> tradenames. The total cash consideration paid for these assets was approximately $38.0 million.</w:t>
      </w:r>
    </w:p>
    <w:p>
      <w:pPr>
        <w:spacing w:after="0" w:line="140"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In the second, third and fourth fiscal quarters of 2013, our Board of Directors authorized quarterly cash dividends of $0.16 per share. The dividends were paid during the fiscal quarter in which they were declared.</w:t>
      </w:r>
    </w:p>
    <w:p>
      <w:pPr>
        <w:spacing w:after="0" w:line="14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In the first quarter of 2013, we assumed control of retail operations in Japan, previously managed by a licensee. In fiscal 2013, our retail operations in Japan generated sales of approximately $15.9 million and an operating loss of $11.3 million, which includes exit costs of approximately $4.1 million. In the fourth quarter of 2013, we decided to exit those operations based on revised forecasts which do not meet our investment objectives.</w:t>
      </w:r>
    </w:p>
    <w:p>
      <w:pPr>
        <w:spacing w:after="0" w:line="156"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6"/>
          <w:szCs w:val="16"/>
          <w:color w:val="auto"/>
        </w:rPr>
        <w:t>In connection with the plan to consolidate our Shelton, Connecticut and Atlanta, Georgia offices, as well as certain functions from our other offices, into a new headquarters facility in Atlanta, Georgia, we recorded charges of approximately $33.3 million in fiscal 2013 and $6.4 million in fiscal 2012, primarily related to severance, relocation and recruiting expenses, and accelerated depreciation.</w:t>
      </w:r>
    </w:p>
    <w:p>
      <w:pPr>
        <w:spacing w:after="0" w:line="1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fiscal 2012, we announced our plans to close our Hogansville, Georgia facility consistent with our strategy to strengthen our distribution capabilities. In conjunction with the plan to close Hogansville, we recorded closing costs of approximately $1.9 million and $3.1 million in 2013 and 2012, respectively. We also opened a new one million square foot multi-channel distribution facility in Braselton, Georgia in fiscal 2012.</w:t>
      </w:r>
    </w:p>
    <w:p>
      <w:pPr>
        <w:spacing w:after="0" w:line="15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In fiscal 2012, we entered into a lease agreement for approximately 275,000 square feet of office space located in The Phipps Tower in Atlanta, Georgia which will serve as our new headquarters.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five business segments we use to manage and evaluate our performance are: Carter's wholesale, Carter's retail, OshKosh retail, OshKosh wholesale, and international.</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340" w:right="239" w:bottom="1440" w:gutter="0" w:footer="0" w:header="0"/>
        </w:sectPr>
      </w:pPr>
    </w:p>
    <w:bookmarkStart w:id="26" w:name="page27"/>
    <w:bookmarkEnd w:id="26"/>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following table sets forth, for the periods indicated (i) selected statement of operations data expressed as a percentage of net sales and (ii) the number of retail stores open at the end of each period:</w:t>
      </w:r>
    </w:p>
    <w:p>
      <w:pPr>
        <w:spacing w:after="0" w:line="92"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7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6"/>
                <w:szCs w:val="16"/>
                <w:color w:val="auto"/>
              </w:rPr>
            </w:pPr>
          </w:p>
        </w:tc>
        <w:tc>
          <w:tcPr>
            <w:tcW w:w="18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7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82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7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Carter’s Wholesale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Carter’s Retail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Carter’s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OshKosh Retail</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OshKosh Wholesale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OshKosh</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sales</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Royalty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gain</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1"/>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tcPr>
          <w:p>
            <w:pPr>
              <w:spacing w:after="0"/>
              <w:rPr>
                <w:sz w:val="23"/>
                <w:szCs w:val="23"/>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Borders>
              <w:bottom w:val="single" w:sz="8" w:color="CCEEFF"/>
            </w:tcBorders>
          </w:tcPr>
          <w:p>
            <w:pPr>
              <w:spacing w:after="0"/>
              <w:rPr>
                <w:sz w:val="23"/>
                <w:szCs w:val="23"/>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tcPr>
          <w:p>
            <w:pPr>
              <w:spacing w:after="0"/>
              <w:rPr>
                <w:sz w:val="23"/>
                <w:szCs w:val="23"/>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retail stores at end of period: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Carter’s - U.S.</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476</w:t>
            </w:r>
          </w:p>
        </w:tc>
        <w:tc>
          <w:tcPr>
            <w:tcW w:w="18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OshKosh - U.S.</w:t>
            </w:r>
          </w:p>
        </w:tc>
        <w:tc>
          <w:tcPr>
            <w:tcW w:w="1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181</w:t>
            </w:r>
          </w:p>
        </w:tc>
        <w:tc>
          <w:tcPr>
            <w:tcW w:w="1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117</w:t>
            </w:r>
          </w:p>
        </w:tc>
        <w:tc>
          <w:tcPr>
            <w:tcW w:w="18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Note: Results may not be additive due to rounding.</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300"/>
          </w:cols>
          <w:pgMar w:left="240" w:top="121" w:right="359" w:bottom="1440" w:gutter="0" w:footer="0" w:header="0"/>
        </w:sectPr>
      </w:pPr>
    </w:p>
    <w:bookmarkStart w:id="27" w:name="page28"/>
    <w:bookmarkEnd w:id="27"/>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YEAR ENDED DECEMBER 28, 2013 COMPARED WITH FISCAL YEAR ENDED DECEMBER 29, 2012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NET SALES</w:t>
      </w:r>
    </w:p>
    <w:p>
      <w:pPr>
        <w:spacing w:after="0" w:line="20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6"/>
          <w:szCs w:val="16"/>
          <w:color w:val="auto"/>
        </w:rPr>
        <w:t>In fiscal 2013, consolidated net sales increased $257.0 million, or 10.8%, to $2.6 billion. The growth primarily reflects strength in our Carter's Wholesale, Carter's Retail and International segments. Foreign currency translation negatively impacted international net sales by approximately $6.8 million, or 3.1%.</w:t>
      </w:r>
    </w:p>
    <w:p>
      <w:pPr>
        <w:spacing w:after="0" w:line="287"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19"/>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Carter’s Wholesale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1,035,420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981,445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Carter’s Retail</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954,160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818,909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Carter’s</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1,989,580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1,800,354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OshKosh Retail</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289,311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8"/>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OshKosh Wholesale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OshKosh</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285,256</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218,285</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2,638,711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2,381,734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CARTER’S WHOLESALE SALES</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Carter’s wholesale sales increased $54.0 million, or 5.5%, in fiscal 2013 to $1,035.4 million. This growth was primarily driven by a 4.4% increase in units shipped as compared to fiscal 2012.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CARTER’S RETAIL SALES</w:t>
      </w:r>
    </w:p>
    <w:p>
      <w:pPr>
        <w:spacing w:after="0" w:line="20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Carter’s retail sales increased $135.3 million, or 16.5%, in fiscal 2013 to $954.2 million. The increase was driven by incremental sales of $79.1 million generated by new store openings, $54.6 million generated by eCommerce sales, and a comparable store sales increase of $6.8 million, or 1.0%, partially offset by the impact of store closings of $5.3 million. On a comparable store basis, the average transaction value increased 1.1%. Carter's direct-to-consumer comparable sales, defined as the combination of retail store and eCommerce comparable sales, increased 7.7%, comprised of eCommerce comparable sales growth of 49.9% and a comparable retail store comparable sales growth of 1.0%.</w:t>
      </w:r>
    </w:p>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Our comparable store sales calculations include sales for all stores that were open during the comparable fiscal period, including remodeled stores, and certain relocated stores. If a store relocates within the same center with no business interruption or material change in square footage, the sales of such store will continue to be included in the comparable store calculation. If a store relocates to another center, or there is a material change in square footage, such store is treated as a new store. Stores that are closed during the period are included in the comparable store sales calculation up to the last full fiscal month of operations. Our comparable eCommerce sales calculations include sales from our websites that were opened during the comparable fiscal period.</w:t>
      </w:r>
    </w:p>
    <w:p>
      <w:pPr>
        <w:spacing w:after="0" w:line="165"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6"/>
          <w:szCs w:val="16"/>
          <w:color w:val="auto"/>
        </w:rPr>
        <w:t>During fiscal 2013, we opened 65 Carter's stores and closed two stores. There were a total of 476 Carter’s retail stores as of December 28, 2013. In total, we plan to open approximately 60 and close four Carter’s retail stores during fiscal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OSHKOSH RETAIL SALES</w:t>
      </w:r>
    </w:p>
    <w:p>
      <w:pPr>
        <w:spacing w:after="0" w:line="20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OshKosh retail sales increased $6.0 million, or 2.1%, in fiscal 2013 to $289.3 million. The increase reflects incremental sales of $13.5 million generated by eCommerce sales and $11.0 million generated by new store openings, partially offset by the impact of store closings of $10.5 million and a comparable store sales decrease of $8.0 million, or 3.4%. OshKosh direct-to-consumer comparable sales increased 2.0%, comprised of eCommerce comparable sales growth of 40.9% and a retail store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6"/>
          <w:szCs w:val="16"/>
          <w:color w:val="auto"/>
        </w:rPr>
        <w:t>comparable sales decline of 3.4%. On a comparable store basis, the average retail store transaction value remained flat and transactions decreased during fiscal 2013 as compared to fiscal 2012.</w:t>
      </w:r>
    </w:p>
    <w:p>
      <w:pPr>
        <w:spacing w:after="0" w:line="143"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During fiscal 2013, we opened 18 OshKosh stores and closed five stores. There were a total of 181 OshKosh retail stores as of December 28, 2013. In total, we plan to open approximately 24 and close four OshKosh retail stores during fiscal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OSHKOSH WHOLESALE SALES</w:t>
      </w:r>
    </w:p>
    <w:p>
      <w:pPr>
        <w:spacing w:after="0" w:line="208"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6"/>
          <w:szCs w:val="16"/>
          <w:color w:val="auto"/>
        </w:rPr>
        <w:t>OshKosh wholesale sales decreased $5.2 million, or 6.5%, in fiscal 2013 to $74.6 million. The decrease in wholesale sales reflects a 12.2% decrease in units shipped and partially offset by a 6.5% increase in average price per unit as compared to fiscal 2012.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SALES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international sales include our Canada and Japan retail operations, international eCommerce, and wholesale sales.</w:t>
      </w:r>
    </w:p>
    <w:p>
      <w:pPr>
        <w:spacing w:after="0" w:line="20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International sales increased $67.0 million, or 30.7%, in fiscal 2013 to $285.3 million. Our international retail sales increased $38.6 million, or 28.3%, to $175.0 million, driven by incremental Canadian sales of $19.9 million (primarily from new store openings), sales by our Japanese operations of $15.9 million, and $2.8 million of incremental eCommerce sales. Comparable store sales in Canada decreased $2.2 million or 1.8%. In addition, international wholesale sales increased $28.4 million, or 34.7%, to $110.2 million.</w:t>
      </w:r>
    </w:p>
    <w:p>
      <w:pPr>
        <w:spacing w:after="0" w:line="16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6"/>
          <w:szCs w:val="16"/>
          <w:color w:val="auto"/>
        </w:rPr>
        <w:t>During fiscal 2013, we opened 21 retail stores in Canada and closed one store. There were a total of 102 retail stores in Canada as of December 28, 2013. In fiscal 2014, we plan to open a total of approximately 20 retail stores in Canada with no closures planned.</w:t>
      </w:r>
    </w:p>
    <w:p>
      <w:pPr>
        <w:spacing w:after="0" w:line="14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In the first quarter of 2013, we assumed control of retail operations in Japan, previously managed by a licensee. In fiscal 2013, our retail operations in Japan generated sales of approximately $15.9 million and an operating loss of $11.3 million, which includes exit costs of approximately $4.1 million. In the fourth quarter of 2013, we decided to exit those operations based on revised forecasts which do not meet our investment objectives.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Our gross profit increased $157.4 million, or 16.8%, to $1,095.4 million in fiscal 2013. Gross margin increased from 39.4% in fiscal 2012 to 41.5% in fiscal 2013 primarily as the result of higher mix of direct-to-consumer sales and lower product costs compared to prior year.</w:t>
      </w:r>
    </w:p>
    <w:p>
      <w:pPr>
        <w:spacing w:after="0" w:line="143"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6"/>
          <w:szCs w:val="16"/>
          <w:color w:val="auto"/>
        </w:rPr>
        <w:t>We include distribution costs in selling, general, and administrative expenses. Accordingly, our gross profit may not be comparable to other companies that include such distribution costs in their cost of goods sold.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208"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6"/>
          <w:szCs w:val="16"/>
          <w:color w:val="auto"/>
        </w:rPr>
        <w:t>Selling, general, and administrative expenses in fiscal 2013 increased $155.3 million, or 21.8%, to $868.5 million. As a percentage of net sales, selling, general, and administrative expenses increased from 29.9% to 32.9% in fiscal 2013.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selling, general, and administrative expenses as a percentage of net sales reflects:</w:t>
      </w:r>
    </w:p>
    <w:p>
      <w:pPr>
        <w:spacing w:after="0" w:line="242" w:lineRule="exact"/>
        <w:rPr>
          <w:sz w:val="20"/>
          <w:szCs w:val="20"/>
          <w:color w:val="auto"/>
        </w:rPr>
      </w:pPr>
    </w:p>
    <w:p>
      <w:pPr>
        <w:ind w:left="1160" w:hanging="286"/>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$39.9 million in higher domestic and Canada retail store expenses;</w:t>
      </w:r>
    </w:p>
    <w:p>
      <w:pPr>
        <w:spacing w:after="0" w:line="229"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$26.9 million in incremental costs associated with the office consolidation;</w:t>
      </w:r>
    </w:p>
    <w:p>
      <w:pPr>
        <w:spacing w:after="0" w:line="254"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$18.4 million in incremental distribution and freight costs;</w:t>
      </w:r>
    </w:p>
    <w:p>
      <w:pPr>
        <w:spacing w:after="0" w:line="254"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$18.1 million in expenses associated with the Japan business, including operating costs and costs to exit the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21" w:lineRule="exact"/>
        <w:rPr>
          <w:sz w:val="20"/>
          <w:szCs w:val="20"/>
          <w:color w:val="auto"/>
        </w:rPr>
      </w:pPr>
    </w:p>
    <w:p>
      <w:pPr>
        <w:ind w:left="1160" w:hanging="286"/>
        <w:spacing w:after="0"/>
        <w:tabs>
          <w:tab w:leader="none" w:pos="11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$13.6 million in amortization of the H.W. Carter tradename;</w:t>
      </w:r>
    </w:p>
    <w:p>
      <w:pPr>
        <w:spacing w:after="0" w:line="254" w:lineRule="exact"/>
        <w:rPr>
          <w:rFonts w:ascii="Times New Roman" w:cs="Times New Roman" w:eastAsia="Times New Roman" w:hAnsi="Times New Roman"/>
          <w:sz w:val="16"/>
          <w:szCs w:val="16"/>
          <w:color w:val="auto"/>
        </w:rPr>
      </w:pPr>
    </w:p>
    <w:p>
      <w:pPr>
        <w:ind w:right="3420" w:firstLine="874"/>
        <w:spacing w:after="0" w:line="571" w:lineRule="auto"/>
        <w:tabs>
          <w:tab w:leader="none" w:pos="116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 million in incremental operating expenses associated with the growth of the eCommerce business; Slightly offsetting these increases were:</w:t>
      </w:r>
    </w:p>
    <w:p>
      <w:pPr>
        <w:spacing w:after="0" w:line="1"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 million in lower provisions for performance-based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ROYALTY INCOME</w:t>
      </w:r>
    </w:p>
    <w:p>
      <w:pPr>
        <w:spacing w:after="0" w:line="206"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 xml:space="preserve">We license the use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 B’gosh, 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brand names. Royalty income from these brands in both fiscal 2013 and fiscal 2012 was approximately $37.3 million (including $5.5 million and $6.8 million of international royalty income in fiscal 2013 and fiscal 2012, respectively). International royalty income in fiscal 2013 declined primarily due to our assumption of a licensee's operations in Japan.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income increased $2.2 million, or 0.8%, to $264.2 million in fiscal 2013 due to the factors described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20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Interest expense in fiscal 2013 increased $6.7 million to $13.4 million, compared to fiscal 2012. Weighted-average borrowings for fiscal 2013 were $338.7 million at an effective interest rate of 3.92%, as compared to weighted-average borrowings for fiscal 2012 of $210.4 million at an effective interest rate of 3.23%. The effective interest rate for fiscal 2013 was higher than fiscal 2012 as a result of the issuance of the senior notes (at an interest rate of 5.25%) in the third quarter of fiscal 2013, partially offset by the impact of the refinancing of the secured revolving credit facility in the third quarter of fiscal 2012.</w:t>
      </w:r>
    </w:p>
    <w:p>
      <w:pPr>
        <w:spacing w:after="0" w:line="16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6"/>
          <w:szCs w:val="16"/>
          <w:color w:val="auto"/>
        </w:rPr>
        <w:t>Our operating results are subject to risk from interest rate fluctuations on our secured revolving credit facility, which carries variable interest rates. As of December 28, 2013, our outstanding variable rate debt aggregated approximately $186.0 million. An increase or decrease of 1% in the applicable rate applied to our weighted-average borrowings would have increased or decreased our fiscal 2013 interest cost by approximately $1.9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EXPENSE (INCOME), NET</w:t>
      </w:r>
    </w:p>
    <w:p>
      <w:pPr>
        <w:spacing w:after="0" w:line="2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6"/>
          <w:szCs w:val="16"/>
          <w:color w:val="auto"/>
        </w:rPr>
        <w:t>During fiscal 2013 and 2012, other expense (income), net, principally comprised foreign currency losses of $1.9 million and gains of $0.1 million, respectively, related to foreign currency denominated payables.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0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Our effective tax rate was 35.7% for fiscal 2013 as compared to 36.9% for fiscal 2012. The decrease in our effective rate was attributable to the expansion of our international operations, which are taxed at slightly lower effective rates, and the absence of non-deductible acquisition costs in 2013.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net income for fiscal 2013 decreased $0.7 million, or 0.5%, to $160.4 million as compared to $161.2 million in fiscal 2012.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YEAR ENDED DECEMBER 29, 2012 COMPARED WITH FISCAL YEAR ENDED DECEMBER 31, 2011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NET SALES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fiscal 2012, consolidated net sales increased $272.0 million, or 12.9%, to $2.4 billion. The growth reflects higher sales across all segments, except OshKosh Wholesale, and the effect of a full year of sales in fiscal 2012 from the acquisition of Bonnie Togs versus six months of sales in the prior year. Consolidated net sales for fiscal 2012 include $46.1 million in off-price channel sales, compared to $79.5 million in fiscal 2011.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360"/>
          </w:cols>
          <w:pgMar w:left="240" w:top="121" w:right="299" w:bottom="1440" w:gutter="0" w:footer="0" w:header="0"/>
        </w:sectPr>
      </w:pPr>
    </w:p>
    <w:bookmarkStart w:id="30" w:name="page31"/>
    <w:bookmarkEnd w:id="30"/>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39"/>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2011</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Carter’s Wholesale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981,445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939,115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Carter’s Retail</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818,909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Carter’s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1,800,354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1,610,705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OshKosh Retail</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280,900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8"/>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OshKosh Wholesale</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81,888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OshKosh</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362,788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218,285</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136,241</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net sales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2,381,734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2,109,734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CARTER’S WHOLESALE SALES</w:t>
      </w:r>
    </w:p>
    <w:p>
      <w:pPr>
        <w:spacing w:after="0" w:line="208"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6"/>
          <w:szCs w:val="16"/>
          <w:color w:val="auto"/>
        </w:rPr>
        <w:t>Carter’s wholesale sales increased $42.3 million, or 4.5%, in fiscal 2012 to $981.4 million. This growth was primarily driven by a 5.2% increase in average price per unit, partially offset by a 0.7% decrease in units shipped as compared to fiscal 2011. The increase in average price per unit resulted from improved price realization across our product offerings and lower levels of off-price channel sales. The decrease in units shipped was primarily due to fewer shipments in the off-price channel.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CARTER’S RETAIL SALES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Carter’s retail sales increased $147.3 million, or 21.9%, in fiscal 2012 to $818.9 million. The increase was driven by incremental sales of $77.3 million generated by new store openings, $54.3 million generated by eCommerce sales, and a comparable store sales increase of $23.5 million, or 3.9%, partially offset by the impact of store closings of $7.8 million. On a comparable store basis, the average transaction value increased 3.6% principally due to improved price realization.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2012, we opened 63 Carter's stores and closed nine stores. There were a total of 413 Carter’s retail stores as of December 29, 2012.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OSHKOSH RETAIL SALES</w:t>
      </w:r>
    </w:p>
    <w:p>
      <w:pPr>
        <w:spacing w:after="0" w:line="20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OshKosh retail sales increased $2.4 million, or 0.9%, in fiscal 2012 to $283.3 million. The increase reflects incremental sales of $15.1 million generated by eCommerce sales and $3.8 million generated by new store openings, partially offset by the impact of store closings of $11.4 million and a comparable store sales decrease of $5.1 million, or</w:t>
      </w:r>
    </w:p>
    <w:p>
      <w:pPr>
        <w:spacing w:after="0" w:line="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2.0%. On a comparable store basis, the average transaction value increased 4.0% as a result of improved price realization, and the number of transactions decreased 5.8% due to a decline in traffic.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2012, we opened eight OshKosh stores and closed ten stores. There were a total of 168 OshKosh retail stores as of December 29, 2012.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OSHKOSH WHOLESALE SALES</w:t>
      </w:r>
    </w:p>
    <w:p>
      <w:pPr>
        <w:spacing w:after="0" w:line="20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OshKosh wholesale sales decreased $2.1 million, or 2.6%, in fiscal 2012 to $79.8 million. Our wholesale sales experienced an 11.6% decrease in units shipped and a 10.2% increase in average price per unit, primarily due to lower off-price channel sales in fiscal 2012, as compared to fiscal 2011.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SALES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international sales include our Canadian retail and wholesale operations, and international wholesale sales.</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360"/>
          </w:cols>
          <w:pgMar w:left="240" w:top="121" w:right="299" w:bottom="1440" w:gutter="0" w:footer="0" w:header="0"/>
        </w:sectPr>
      </w:pPr>
    </w:p>
    <w:bookmarkStart w:id="31" w:name="page32"/>
    <w:bookmarkEnd w:id="31"/>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International sales increased $82.0 million, or 60.2%, in fiscal 2012 to $218.3 million. Our international retail sales increased $69.5 million to $136.5 million, reflecting a full year of Canadian sales in fiscal 2012 as compared to two quarters in fiscal 2011. In addition, international wholesale sales increased $12.5 million, or 18.1%, to $81.8 million, driven by a full year of Canadian wholesale sales in fiscal 2012 as compared to two quarters in fiscal 2011, along with higher wholesale sales in other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2012, we opened 18 retail stores in Canada and closed one store. There were a total of 82 retail stores in Canada as of December 29, 2012.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Our gross profit increased $245.7 million, or 35.5%, to $937.9 million in fiscal 2012. Gross margin increased from 32.8% in fiscal 2011 to 39.4% in fiscal 2012. Gross margin in fiscal 2012 was favorably affected by higher selling prices, lower product costs, greater contribution from the direct-to-consumer business, and the absence of the Acquisition fair value adjustment.</w:t>
      </w:r>
    </w:p>
    <w:p>
      <w:pPr>
        <w:spacing w:after="0" w:line="156"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6"/>
          <w:szCs w:val="16"/>
          <w:color w:val="auto"/>
        </w:rPr>
        <w:t>We include distribution costs in selling, general, and administrative expenses. Accordingly, our gross profit may not be comparable to other companies that include such distribution costs in their cost of goods sold.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208"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6"/>
          <w:szCs w:val="16"/>
          <w:color w:val="auto"/>
        </w:rPr>
        <w:t>Selling, general, and administrative expenses in fiscal 2012 increased $171.1 million, or 31.6%, to $713.2 million. As a percentage of net sales, selling, general, and administrative expenses increased from 25.7% to 29.9% in fiscal 2012.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selling, general, and administrative expenses as a percentage of net sales reflects:</w:t>
      </w:r>
    </w:p>
    <w:p>
      <w:pPr>
        <w:spacing w:after="0" w:line="218" w:lineRule="exact"/>
        <w:rPr>
          <w:sz w:val="20"/>
          <w:szCs w:val="20"/>
          <w:color w:val="auto"/>
        </w:rPr>
      </w:pPr>
    </w:p>
    <w:p>
      <w:pPr>
        <w:ind w:left="1160" w:hanging="286"/>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$28.2 million in higher provisions for performance-based compensation;</w:t>
      </w:r>
    </w:p>
    <w:p>
      <w:pPr>
        <w:spacing w:after="0" w:line="229" w:lineRule="exact"/>
        <w:rPr>
          <w:rFonts w:ascii="Times New Roman" w:cs="Times New Roman" w:eastAsia="Times New Roman" w:hAnsi="Times New Roman"/>
          <w:sz w:val="16"/>
          <w:szCs w:val="16"/>
          <w:color w:val="auto"/>
        </w:rPr>
      </w:pPr>
    </w:p>
    <w:p>
      <w:pPr>
        <w:ind w:left="1760" w:right="100" w:hanging="886"/>
        <w:spacing w:after="0" w:line="320" w:lineRule="auto"/>
        <w:tabs>
          <w:tab w:leader="none" w:pos="117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$27.9 million in higher international retail store expenses, reflecting a full year of sales from our Canadian business in fiscal 2012 versus six months of sales in fiscal 2011;</w:t>
      </w:r>
    </w:p>
    <w:p>
      <w:pPr>
        <w:spacing w:after="0" w:line="166"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$17.2 million in incremental operating expenses associated with the growth of the eCommerce business;</w:t>
      </w:r>
    </w:p>
    <w:p>
      <w:pPr>
        <w:spacing w:after="0" w:line="254"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$15.6 million in marketing expenses primarily related to branding initiatives; and</w:t>
      </w:r>
    </w:p>
    <w:p>
      <w:pPr>
        <w:spacing w:after="0" w:line="254" w:lineRule="exact"/>
        <w:rPr>
          <w:rFonts w:ascii="Times New Roman" w:cs="Times New Roman" w:eastAsia="Times New Roman" w:hAnsi="Times New Roman"/>
          <w:sz w:val="16"/>
          <w:szCs w:val="16"/>
          <w:color w:val="auto"/>
        </w:rPr>
      </w:pPr>
    </w:p>
    <w:p>
      <w:pPr>
        <w:ind w:left="1160" w:hanging="286"/>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 million in expenses related to the facility closure of the Hogansville distribution center and the Shelton office consolidation.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Slightly offsetting these increases were:</w:t>
      </w:r>
    </w:p>
    <w:p>
      <w:pPr>
        <w:spacing w:after="0" w:line="254" w:lineRule="exact"/>
        <w:rPr>
          <w:sz w:val="20"/>
          <w:szCs w:val="20"/>
          <w:color w:val="auto"/>
        </w:rPr>
      </w:pPr>
    </w:p>
    <w:p>
      <w:pPr>
        <w:ind w:left="1160" w:hanging="286"/>
        <w:spacing w:after="0"/>
        <w:tabs>
          <w:tab w:leader="none" w:pos="11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million in professional service fees recorded in fiscal 2011 in connection with the acquisition of Bonnie Togs.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ROYALTY INCOME</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 xml:space="preserve">We license the use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 B’gosh, 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brand names. Royalty income from these brands in fiscal 2012 was approximately $37.2 million (including $6.8 million of international royalty income), a decrease of 0.1%, as compared to fiscal 2011. The slight decrease reflects the absence of international royalty income from our former licensee, Bonnie Togs, which was acquired in June 2011, primarily offset by increased sales from other licensees.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income increased $74.5 million, or 39.8%, to $262.0 million in fiscal 2012 due to the factors described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in fiscal 2012 decreased $0.8 million, or 10.4%, to $6.8 million, compared to fiscal 2011. Weighted-</w:t>
      </w:r>
    </w:p>
    <w:p>
      <w:pPr>
        <w:spacing w:after="0" w:line="2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average borrowings for fiscal 2012 were $210.4 million at an effective interest rate of 3.23%, as compared to weighted-average borrowings for fiscal 2011 of $236.0 million at an effective interest rate of 3.25%. The effective interest rate calculation includes the amortization of debt issuance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GAIN</w:t>
      </w:r>
    </w:p>
    <w:p>
      <w:pPr>
        <w:spacing w:after="0" w:line="20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6"/>
          <w:szCs w:val="16"/>
          <w:color w:val="auto"/>
        </w:rPr>
        <w:t>During fiscal 2012, we recorded foreign currency gains of $0.1 million related to the mark-to-market adjustment on foreign currency exchange contracts and foreign currency denominated payables.</w:t>
      </w:r>
    </w:p>
    <w:p>
      <w:pPr>
        <w:spacing w:after="0" w:line="143"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6"/>
          <w:szCs w:val="16"/>
          <w:color w:val="auto"/>
        </w:rPr>
        <w:t>During fiscal 2011, we recorded foreign currency gains of $0.6 million, as a result of a forward foreign currency exchange contract to reduce our risk from exchange fluctuations on the purchase price of Bonnie Togs and the mark-to-market adjustments on foreign currency exchange contracts and foreign currency denominated payables.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0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Our effective tax rate was 36.9% for fiscal 2012 as compared to 37.0% for fiscal 2011. The slight decrease in our effective rate is attributable to our Canadian operations which carry a lower overall effective tax rate. For both years, the effective tax rate was favorably affected by the recognition of previously recorded uncertain tax positions.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net income for fiscal 2012 increased $47.1 million, or 41.3%, to $161.2 million as compared to $114.0 million in fiscal 2011.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CAPITAL RESOURCES, AND LIQUIDITY</w:t>
      </w:r>
    </w:p>
    <w:p>
      <w:pPr>
        <w:spacing w:after="0" w:line="20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Our primary cash needs are working capital and capital expenditures. Substantially all of our cash is held in the U.S. Our primary source of liquidity will continue to be cash and cash equivalents on hand, cash flow from operations, and borrowings available under our secured revolving credit facility, and we expect that these sources will fund our ongoing requirements for the foreseeable future. These sources of liquidity may be affected by events described in our risk factors, as further discussed in Part I, Item 1A of this filing.</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Net accounts receivable at December 28, 2013 were $193.6 million compared to $168.0 million at December 29, 2012. The increase of $25.6 million, or 15.2%, as compared to December 29, 2012 reflects growth in the business along with an increase of approximately $17.9 million in other receivables related to tenant improvement allowances for the new headquarters facility.</w:t>
      </w:r>
    </w:p>
    <w:p>
      <w:pPr>
        <w:spacing w:after="0" w:line="156"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6"/>
          <w:szCs w:val="16"/>
          <w:color w:val="auto"/>
        </w:rPr>
        <w:t>Net inventories at December 28, 2013 were $417.8 million compared to $349.5 million at December 29, 2012. The increase of $68.2 million, or 19.5%, as compared to December 29, 2012, reflects an increase in inventory levels to support planned sales and store openings, in addition to higher product costs as compared to the prior year.</w:t>
      </w:r>
    </w:p>
    <w:p>
      <w:pPr>
        <w:spacing w:after="0" w:line="14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Net cash provided by operating activities for fiscal 2013 was $209.7 million compared to net cash provided by operating activities of $278.6 million in fiscal 2012. The decrease in operating cash flow primarily reflects changes in net working capital. Net cash provided by operating activities for fiscal 2012 was $278.6 million compared to net cash provided by operating activities of $81.1 million in fiscal 2011. The increase in operating cash flow primarily reflects favorable changes in net working capital and increased earnings.</w:t>
      </w:r>
    </w:p>
    <w:p>
      <w:pPr>
        <w:spacing w:after="0" w:line="16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6"/>
          <w:szCs w:val="16"/>
          <w:color w:val="auto"/>
        </w:rPr>
        <w:t>Our capital expenditures were $182.5 million in fiscal 2013 compared to $83.4 million in fiscal 2012, primarily reflecting expenditures of approximately $55.8 million for our U.S. and international retail store openings and remodelings, $54.0 million for the Braselton, Georgia distribution facility, $35.9 million for the new headquarters facility, and $29.5 million for information technology initiatives. Our capital expenditures were $83.4 million in fiscal 2012 compared to $45.5 million in fiscal 2011, primarily reflecting approximately $50.0 million for U.S. and international retail store openings and remodelings, $13.4 million related to Braselton, and $9.8 million for information technology.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ind w:left="3"/>
        <w:spacing w:after="0"/>
        <w:tabs>
          <w:tab w:leader="none" w:pos="742"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3"/>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ind w:left="3" w:right="300"/>
        <w:spacing w:after="0" w:line="288" w:lineRule="auto"/>
        <w:rPr>
          <w:sz w:val="20"/>
          <w:szCs w:val="20"/>
          <w:color w:val="auto"/>
        </w:rPr>
      </w:pPr>
      <w:r>
        <w:rPr>
          <w:rFonts w:ascii="Times New Roman" w:cs="Times New Roman" w:eastAsia="Times New Roman" w:hAnsi="Times New Roman"/>
          <w:sz w:val="16"/>
          <w:szCs w:val="16"/>
          <w:color w:val="auto"/>
        </w:rPr>
        <w:t>We plan to invest approximately $100 million in capital expenditures in fiscal 2014, primarily for U.S. and international retail store openings and remodelings, information technology, and further expansion of our distribution capacity at the Braselton, Georgia facility.</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SECURED REVOLVING CREDIT FACILITY</w:t>
      </w:r>
    </w:p>
    <w:p>
      <w:pPr>
        <w:spacing w:after="0" w:line="171" w:lineRule="exact"/>
        <w:rPr>
          <w:sz w:val="20"/>
          <w:szCs w:val="20"/>
          <w:color w:val="auto"/>
        </w:rPr>
      </w:pPr>
    </w:p>
    <w:p>
      <w:pPr>
        <w:ind w:left="3" w:right="40"/>
        <w:spacing w:after="0" w:line="262" w:lineRule="auto"/>
        <w:rPr>
          <w:sz w:val="20"/>
          <w:szCs w:val="20"/>
          <w:color w:val="auto"/>
        </w:rPr>
      </w:pPr>
      <w:r>
        <w:rPr>
          <w:rFonts w:ascii="Times New Roman" w:cs="Times New Roman" w:eastAsia="Times New Roman" w:hAnsi="Times New Roman"/>
          <w:sz w:val="16"/>
          <w:szCs w:val="16"/>
          <w:color w:val="auto"/>
        </w:rPr>
        <w:t>On October 15, 2010, we entered into a $375 million ($130 million sub-limit for letters of credit and a swing line sub-limit of $40 million) secured revolving credit facility with Bank of America as sole lead arranger and administrative agent, JP Morgan Chase Bank as syndication agent, and other financial institutions. On December 22, 2011, we amended and restated the secured revolving credit facility to, among other things, provide a U.S. dollar secured revolving facility of $340 million ($130 million sub-limit for letters of credit and a swing line sub-limit of $40 million) and a $35 million multicurrency secured revolving facility ($15 million sub-limit for letters of credit and a swing line sub-limit of $5 million), which is available for borrowings by either TWCC or our Canadian subsidiary, in U.S. dollars or Canadian dollars.</w:t>
      </w:r>
    </w:p>
    <w:p>
      <w:pPr>
        <w:spacing w:after="0" w:line="128" w:lineRule="exact"/>
        <w:rPr>
          <w:sz w:val="20"/>
          <w:szCs w:val="20"/>
          <w:color w:val="auto"/>
        </w:rPr>
      </w:pPr>
    </w:p>
    <w:p>
      <w:pPr>
        <w:ind w:left="3" w:right="40"/>
        <w:spacing w:after="0" w:line="261" w:lineRule="auto"/>
        <w:rPr>
          <w:sz w:val="20"/>
          <w:szCs w:val="20"/>
          <w:color w:val="auto"/>
        </w:rPr>
      </w:pPr>
      <w:r>
        <w:rPr>
          <w:rFonts w:ascii="Times New Roman" w:cs="Times New Roman" w:eastAsia="Times New Roman" w:hAnsi="Times New Roman"/>
          <w:sz w:val="16"/>
          <w:szCs w:val="16"/>
          <w:color w:val="auto"/>
        </w:rPr>
        <w:t>On August 31, 2012, we amended and restated the secured revolving credit facility to, among other things, improve interest rates applicable to pricing, extend the maturity of the facility, and allow borrowings in currencies other than U.S. dollars or Canadian dollars subject to the consent of all multicurrency lenders. The aggregate principal amount of the facility remained unchanged at $375 million consisting of a $340 million U.S. dollar secured revolving credit facility and a $35 million multicurrency secured revolving credit facility (although the sub-limit for U.S. dollar letters of credit was increased to $175 million). In connection with the amendment, we recorded approximately $1.9 million in debt issuance costs which, together with the existing unamortized debt issuance costs, will be amortized over the new remaining term of the facility (five years). The term of the secured revolving credit facility expires August 31, 2017.</w:t>
      </w:r>
    </w:p>
    <w:p>
      <w:pPr>
        <w:spacing w:after="0" w:line="1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Pricing Options</w:t>
      </w:r>
    </w:p>
    <w:p>
      <w:pPr>
        <w:spacing w:after="0" w:line="171" w:lineRule="exact"/>
        <w:rPr>
          <w:sz w:val="20"/>
          <w:szCs w:val="20"/>
          <w:color w:val="auto"/>
        </w:rPr>
      </w:pPr>
    </w:p>
    <w:p>
      <w:pPr>
        <w:ind w:left="3" w:right="120"/>
        <w:spacing w:after="0" w:line="288" w:lineRule="auto"/>
        <w:rPr>
          <w:sz w:val="20"/>
          <w:szCs w:val="20"/>
          <w:color w:val="auto"/>
        </w:rPr>
      </w:pPr>
      <w:r>
        <w:rPr>
          <w:rFonts w:ascii="Times New Roman" w:cs="Times New Roman" w:eastAsia="Times New Roman" w:hAnsi="Times New Roman"/>
          <w:sz w:val="16"/>
          <w:szCs w:val="16"/>
          <w:color w:val="auto"/>
        </w:rPr>
        <w:t>The secured revolving credit facility provides for different pricing options based on, among other things, the currency being borrowed and our leverage. Amounts outstanding under the secured revolving credit facility as of December 28, 2013 were accruing interest at a LIBOR rate plus 2.00%.</w:t>
      </w:r>
    </w:p>
    <w:p>
      <w:pPr>
        <w:spacing w:after="0" w:line="1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171" w:lineRule="exact"/>
        <w:rPr>
          <w:sz w:val="20"/>
          <w:szCs w:val="20"/>
          <w:color w:val="auto"/>
        </w:rPr>
      </w:pPr>
    </w:p>
    <w:p>
      <w:pPr>
        <w:ind w:left="3" w:right="100"/>
        <w:spacing w:after="0" w:line="264" w:lineRule="auto"/>
        <w:rPr>
          <w:sz w:val="20"/>
          <w:szCs w:val="20"/>
          <w:color w:val="auto"/>
        </w:rPr>
      </w:pPr>
      <w:r>
        <w:rPr>
          <w:rFonts w:ascii="Times New Roman" w:cs="Times New Roman" w:eastAsia="Times New Roman" w:hAnsi="Times New Roman"/>
          <w:sz w:val="16"/>
          <w:szCs w:val="16"/>
          <w:color w:val="auto"/>
        </w:rPr>
        <w:t>The secured revolving credit facility contains and defines financial covenants, including a lease adjusted leverage ratio (defined as, with certain adjustments, the ratio of our consolidated indebtedness plus six times rent expense to consolidated net income before interest, taxes, depreciation, amortization, and rent expense (“EBITDAR”)) to exceed</w:t>
      </w:r>
    </w:p>
    <w:p>
      <w:pPr>
        <w:spacing w:after="0" w:line="1" w:lineRule="exact"/>
        <w:rPr>
          <w:sz w:val="20"/>
          <w:szCs w:val="20"/>
          <w:color w:val="auto"/>
        </w:rPr>
      </w:pPr>
    </w:p>
    <w:p>
      <w:pPr>
        <w:ind w:left="3" w:hanging="3"/>
        <w:spacing w:after="0" w:line="261" w:lineRule="auto"/>
        <w:tabs>
          <w:tab w:leader="none" w:pos="2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period ends on or before December 31, 2016, 3.75:1.00 and (y) if such period ends after December 31, 2016, 3.50:1.00; and consolidated fixed charge coverage ratio (defined as, with certain adjustments, the ratio of consolidated EBITDAR to consolidated fixed charges (defined as interest plus rent expense)), for any such period to be less than 2.50:1.00. As of December 28, 2013, we are in compliance with our financial debt covenants.</w:t>
      </w:r>
    </w:p>
    <w:p>
      <w:pPr>
        <w:spacing w:after="0" w:line="1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Outstanding Amount</w:t>
      </w:r>
    </w:p>
    <w:p>
      <w:pPr>
        <w:spacing w:after="0" w:line="208" w:lineRule="exact"/>
        <w:rPr>
          <w:sz w:val="20"/>
          <w:szCs w:val="20"/>
          <w:color w:val="auto"/>
        </w:rPr>
      </w:pPr>
    </w:p>
    <w:p>
      <w:pPr>
        <w:ind w:left="3" w:right="180"/>
        <w:spacing w:after="0" w:line="288" w:lineRule="auto"/>
        <w:rPr>
          <w:sz w:val="20"/>
          <w:szCs w:val="20"/>
          <w:color w:val="auto"/>
        </w:rPr>
      </w:pPr>
      <w:r>
        <w:rPr>
          <w:rFonts w:ascii="Times New Roman" w:cs="Times New Roman" w:eastAsia="Times New Roman" w:hAnsi="Times New Roman"/>
          <w:sz w:val="16"/>
          <w:szCs w:val="16"/>
          <w:color w:val="auto"/>
        </w:rPr>
        <w:t>At December 28, 2013, we had approximately $186.0 million in revolver borrowings, exclusive of $9.5 million of outstanding letters of credit, leaving approximately $179.5 million available for future borrowings.</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SENIOR NOTES</w:t>
      </w:r>
    </w:p>
    <w:p>
      <w:pPr>
        <w:spacing w:after="0" w:line="232" w:lineRule="exact"/>
        <w:rPr>
          <w:sz w:val="20"/>
          <w:szCs w:val="20"/>
          <w:color w:val="auto"/>
        </w:rPr>
      </w:pPr>
    </w:p>
    <w:p>
      <w:pPr>
        <w:ind w:left="3" w:right="300"/>
        <w:spacing w:after="0" w:line="265" w:lineRule="auto"/>
        <w:rPr>
          <w:sz w:val="20"/>
          <w:szCs w:val="20"/>
          <w:color w:val="auto"/>
        </w:rPr>
      </w:pPr>
      <w:r>
        <w:rPr>
          <w:rFonts w:ascii="Times New Roman" w:cs="Times New Roman" w:eastAsia="Times New Roman" w:hAnsi="Times New Roman"/>
          <w:sz w:val="16"/>
          <w:szCs w:val="16"/>
          <w:color w:val="auto"/>
        </w:rPr>
        <w:t>On August 12, 2013, our 100% owned subsidiary, TWCC issued $400 million principal amount of senior notes at par, bearing interest at a rate of 5.25% per annum, and maturing on August 15, 2021, all of which were outstanding as of December 28, 2013. TWCC received net proceeds from the offering of the senior notes of approximately $394.2 million, after deducting bank fees. Approximately $7.0 million, including both bank fees and other third party expenses, has been capitalized in connection with the issuance and is being amortized over the term of the senior notes.</w:t>
      </w:r>
    </w:p>
    <w:p>
      <w:pPr>
        <w:spacing w:after="0" w:line="1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senior notes are unsecured and are fully and unconditionally guaranteed by Carter's, Inc. and certain subsidiaries of TWCC.</w:t>
      </w:r>
    </w:p>
    <w:p>
      <w:pPr>
        <w:spacing w:after="0" w:line="206" w:lineRule="exact"/>
        <w:rPr>
          <w:sz w:val="20"/>
          <w:szCs w:val="20"/>
          <w:color w:val="auto"/>
        </w:rPr>
      </w:pPr>
    </w:p>
    <w:p>
      <w:pPr>
        <w:ind w:left="3" w:right="60"/>
        <w:spacing w:after="0" w:line="265" w:lineRule="auto"/>
        <w:rPr>
          <w:sz w:val="20"/>
          <w:szCs w:val="20"/>
          <w:color w:val="auto"/>
        </w:rPr>
      </w:pPr>
      <w:r>
        <w:rPr>
          <w:rFonts w:ascii="Times New Roman" w:cs="Times New Roman" w:eastAsia="Times New Roman" w:hAnsi="Times New Roman"/>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86"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3"/>
          </w:cols>
          <w:pgMar w:left="237" w:top="121" w:right="239" w:bottom="1440" w:gutter="0" w:footer="0" w:header="0"/>
        </w:sectPr>
      </w:pPr>
    </w:p>
    <w:bookmarkStart w:id="34" w:name="page35"/>
    <w:bookmarkEnd w:id="34"/>
    <w:p>
      <w:pPr>
        <w:ind w:left="3"/>
        <w:spacing w:after="0"/>
        <w:tabs>
          <w:tab w:leader="none" w:pos="742"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3"/>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353" w:lineRule="exact"/>
        <w:rPr>
          <w:sz w:val="20"/>
          <w:szCs w:val="20"/>
          <w:color w:val="auto"/>
        </w:rPr>
      </w:pPr>
    </w:p>
    <w:tbl>
      <w:tblPr>
        <w:tblLayout w:type="fixed"/>
        <w:tblInd w:w="4263" w:type="dxa"/>
        <w:tblCellMar>
          <w:top w:w="0" w:type="dxa"/>
          <w:left w:w="0" w:type="dxa"/>
          <w:bottom w:w="0" w:type="dxa"/>
          <w:right w:w="0" w:type="dxa"/>
        </w:tblCellMar>
      </w:tblP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5"/>
        </w:trPr>
        <w:tc>
          <w:tcPr>
            <w:tcW w:w="16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102.63%</w:t>
            </w:r>
          </w:p>
        </w:tc>
      </w:tr>
      <w:tr>
        <w:trPr>
          <w:trHeight w:val="218"/>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101.31%</w:t>
            </w:r>
          </w:p>
        </w:tc>
      </w:tr>
      <w:tr>
        <w:trPr>
          <w:trHeight w:val="25"/>
        </w:trPr>
        <w:tc>
          <w:tcPr>
            <w:tcW w:w="16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 and thereafter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w:t>
            </w:r>
          </w:p>
        </w:tc>
      </w:tr>
      <w:tr>
        <w:trPr>
          <w:trHeight w:val="25"/>
        </w:trPr>
        <w:tc>
          <w:tcPr>
            <w:tcW w:w="16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8" w:lineRule="exact"/>
        <w:rPr>
          <w:sz w:val="20"/>
          <w:szCs w:val="20"/>
          <w:color w:val="auto"/>
        </w:rPr>
      </w:pPr>
    </w:p>
    <w:p>
      <w:pPr>
        <w:ind w:left="3" w:right="220"/>
        <w:spacing w:after="0" w:line="288" w:lineRule="auto"/>
        <w:rPr>
          <w:sz w:val="20"/>
          <w:szCs w:val="20"/>
          <w:color w:val="auto"/>
        </w:rPr>
      </w:pPr>
      <w:r>
        <w:rPr>
          <w:rFonts w:ascii="Times New Roman" w:cs="Times New Roman" w:eastAsia="Times New Roman" w:hAnsi="Times New Roman"/>
          <w:sz w:val="16"/>
          <w:szCs w:val="16"/>
          <w:color w:val="auto"/>
        </w:rPr>
        <w:t>In addition, until August 15, 2016, we may, at our option, redeem up to 35% of the aggregate principal amount of the senior notes at a redemption price equal to 105.25% of the aggregate principal amount, plus accrued and unpaid interest, subject to certain terms, with the proceeds of certain equity offerings.</w:t>
      </w:r>
    </w:p>
    <w:p>
      <w:pPr>
        <w:spacing w:after="0" w:line="143" w:lineRule="exact"/>
        <w:rPr>
          <w:sz w:val="20"/>
          <w:szCs w:val="20"/>
          <w:color w:val="auto"/>
        </w:rPr>
      </w:pPr>
    </w:p>
    <w:p>
      <w:pPr>
        <w:ind w:left="3" w:right="100"/>
        <w:spacing w:after="0" w:line="265" w:lineRule="auto"/>
        <w:rPr>
          <w:sz w:val="20"/>
          <w:szCs w:val="20"/>
          <w:color w:val="auto"/>
        </w:rPr>
      </w:pPr>
      <w:r>
        <w:rPr>
          <w:rFonts w:ascii="Times New Roman" w:cs="Times New Roman" w:eastAsia="Times New Roman" w:hAnsi="Times New Roman"/>
          <w:sz w:val="16"/>
          <w:szCs w:val="16"/>
          <w:color w:val="auto"/>
        </w:rPr>
        <w:t>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In addition, if we or any of our restricted subsidiaries engages in certain asset sales, under certain circumstances we will be required to use the net proceeds to make an offer to purchase the senior notes at 100% of their principal amount.</w:t>
      </w:r>
    </w:p>
    <w:p>
      <w:pPr>
        <w:spacing w:after="0" w:line="161" w:lineRule="exact"/>
        <w:rPr>
          <w:sz w:val="20"/>
          <w:szCs w:val="20"/>
          <w:color w:val="auto"/>
        </w:rPr>
      </w:pPr>
    </w:p>
    <w:p>
      <w:pPr>
        <w:ind w:left="3" w:right="60"/>
        <w:spacing w:after="0" w:line="258" w:lineRule="auto"/>
        <w:rPr>
          <w:sz w:val="20"/>
          <w:szCs w:val="20"/>
          <w:color w:val="auto"/>
        </w:rPr>
      </w:pPr>
      <w:r>
        <w:rPr>
          <w:rFonts w:ascii="Times New Roman" w:cs="Times New Roman" w:eastAsia="Times New Roman" w:hAnsi="Times New Roman"/>
          <w:sz w:val="16"/>
          <w:szCs w:val="16"/>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w:t>
      </w:r>
    </w:p>
    <w:p>
      <w:pPr>
        <w:spacing w:after="0" w:line="1" w:lineRule="exact"/>
        <w:rPr>
          <w:sz w:val="20"/>
          <w:szCs w:val="20"/>
          <w:color w:val="auto"/>
        </w:rPr>
      </w:pPr>
    </w:p>
    <w:p>
      <w:pPr>
        <w:ind w:left="3" w:right="80" w:hanging="3"/>
        <w:spacing w:after="0" w:line="261" w:lineRule="auto"/>
        <w:tabs>
          <w:tab w:leader="none" w:pos="2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If TWCC fails to complete a required registered exchange offer by May 9, 2014, we will be required to pay additional interest on the senior notes.</w:t>
      </w:r>
    </w:p>
    <w:p>
      <w:pPr>
        <w:spacing w:after="0" w:line="206" w:lineRule="exact"/>
        <w:rPr>
          <w:sz w:val="20"/>
          <w:szCs w:val="20"/>
          <w:color w:val="auto"/>
        </w:rPr>
      </w:pPr>
    </w:p>
    <w:p>
      <w:pPr>
        <w:ind w:left="3" w:right="220"/>
        <w:spacing w:after="0" w:line="288" w:lineRule="auto"/>
        <w:rPr>
          <w:sz w:val="20"/>
          <w:szCs w:val="20"/>
          <w:color w:val="auto"/>
        </w:rPr>
      </w:pPr>
      <w:r>
        <w:rPr>
          <w:rFonts w:ascii="Times New Roman" w:cs="Times New Roman" w:eastAsia="Times New Roman" w:hAnsi="Times New Roman"/>
          <w:sz w:val="16"/>
          <w:szCs w:val="16"/>
          <w:color w:val="auto"/>
        </w:rPr>
        <w:t>Provisions in the Company's secured revolving credit facility and indenture governing its senior notes could have the effect of restricting the Company's ability to pay future cash dividends on or make future repurchases of its common stock, as further described in the Long-Term Debt note to the consolidated financial statements.</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BONNIE TOGS ACQUISITION</w:t>
      </w:r>
    </w:p>
    <w:p>
      <w:pPr>
        <w:spacing w:after="0" w:line="208" w:lineRule="exact"/>
        <w:rPr>
          <w:sz w:val="20"/>
          <w:szCs w:val="20"/>
          <w:color w:val="auto"/>
        </w:rPr>
      </w:pPr>
    </w:p>
    <w:p>
      <w:pPr>
        <w:ind w:left="3"/>
        <w:spacing w:after="0" w:line="265" w:lineRule="auto"/>
        <w:rPr>
          <w:sz w:val="20"/>
          <w:szCs w:val="20"/>
          <w:color w:val="auto"/>
        </w:rPr>
      </w:pPr>
      <w:r>
        <w:rPr>
          <w:rFonts w:ascii="Times New Roman" w:cs="Times New Roman" w:eastAsia="Times New Roman" w:hAnsi="Times New Roman"/>
          <w:sz w:val="16"/>
          <w:szCs w:val="16"/>
          <w:color w:val="auto"/>
        </w:rPr>
        <w:t>On June 30, 2011, we purchased Bonnie Togs for total consideration of up to CAD $95 million, of which USD $61.2 million was paid in cash at closing and the balance to be paid contingent upon achieving certain earnings targets. In fiscal 2013, we paid approximately $14.7 million for achieving interim earnings targets. As of December 28, 2013, a discounted contingent consideration liability of approximately $16.3 million was recorded, based upon the high probability that Bonnie Togs will attain future earnings targets, of which approximately $9.0 million would be paid within a one year window.</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FACILITY CLOSURES</w:t>
      </w:r>
    </w:p>
    <w:p>
      <w:pPr>
        <w:spacing w:after="0" w:line="208" w:lineRule="exact"/>
        <w:rPr>
          <w:sz w:val="20"/>
          <w:szCs w:val="20"/>
          <w:color w:val="auto"/>
        </w:rPr>
      </w:pPr>
    </w:p>
    <w:p>
      <w:pPr>
        <w:ind w:left="3" w:right="480"/>
        <w:spacing w:after="0" w:line="288" w:lineRule="auto"/>
        <w:rPr>
          <w:sz w:val="20"/>
          <w:szCs w:val="20"/>
          <w:color w:val="auto"/>
        </w:rPr>
      </w:pPr>
      <w:r>
        <w:rPr>
          <w:rFonts w:ascii="Times New Roman" w:cs="Times New Roman" w:eastAsia="Times New Roman" w:hAnsi="Times New Roman"/>
          <w:sz w:val="16"/>
          <w:szCs w:val="16"/>
          <w:color w:val="auto"/>
        </w:rPr>
        <w:t>In conjunction with the closure of the Hogansville, Georgia distribution facility, we incurred closure-related charges of approximately $1.9 million in fiscal 2013 and the remaining balance in the accrual as of December 28, 2013 is approximately $1.3 million, which is expected to be paid in the first quarter of fiscal 2014.</w:t>
      </w:r>
    </w:p>
    <w:p>
      <w:pPr>
        <w:spacing w:after="0" w:line="143" w:lineRule="exact"/>
        <w:rPr>
          <w:sz w:val="20"/>
          <w:szCs w:val="20"/>
          <w:color w:val="auto"/>
        </w:rPr>
      </w:pPr>
    </w:p>
    <w:p>
      <w:pPr>
        <w:ind w:left="3" w:right="60"/>
        <w:spacing w:after="0" w:line="262" w:lineRule="auto"/>
        <w:rPr>
          <w:sz w:val="20"/>
          <w:szCs w:val="20"/>
          <w:color w:val="auto"/>
        </w:rPr>
      </w:pPr>
      <w:r>
        <w:rPr>
          <w:rFonts w:ascii="Times New Roman" w:cs="Times New Roman" w:eastAsia="Times New Roman" w:hAnsi="Times New Roman"/>
          <w:sz w:val="16"/>
          <w:szCs w:val="16"/>
          <w:color w:val="auto"/>
        </w:rPr>
        <w:t>In connection with the plan to consolidate our Shelton, Connecticut and Atlanta, Georgia offices, as well as certain functions from our other offices, into a new headquarters facility in Atlanta, Georgia, we recorded charges of approximately $33.3 million in fiscal 2013 and $6.4 million in fiscal 2012, primarily related to severance, relocation and recruiting expenses, and accelerated depreciation. We have substantially completed our consolidation efforts and the remaining balance in the accrual as of December 28, 2013 is approximately $6.4 million, principally severance related, and is expected to be paid by the second quarter of fiscal 2014. We expect to incur approximately $5.0 million of additional costs in fiscal 2014.</w:t>
      </w:r>
    </w:p>
    <w:p>
      <w:pPr>
        <w:spacing w:after="0" w:line="200" w:lineRule="exact"/>
        <w:rPr>
          <w:sz w:val="20"/>
          <w:szCs w:val="20"/>
          <w:color w:val="auto"/>
        </w:rPr>
      </w:pPr>
    </w:p>
    <w:p>
      <w:pPr>
        <w:spacing w:after="0" w:line="37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3"/>
          </w:cols>
          <w:pgMar w:left="237" w:top="121" w:right="239" w:bottom="1440" w:gutter="0" w:footer="0" w:header="0"/>
        </w:sectPr>
      </w:pPr>
    </w:p>
    <w:bookmarkStart w:id="35" w:name="page36"/>
    <w:bookmarkEnd w:id="35"/>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the first quarter of 2013, we assumed control of retail operations in Japan, previously managed by a licensee. In fiscal 2013, our retail operations in Japan generated sales of approximately $15.9 million and an operating loss of $11.3 million, which includes exit costs of approximately $4.1 million. In the fourth quarter of 2013, we decided to exit those operations based on revised forecasts which do not meet our investment objectives, and we expect to incur approximately $6.0 million of additional costs in fiscal 2014.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REPURCHASES</w:t>
      </w:r>
    </w:p>
    <w:p>
      <w:pPr>
        <w:spacing w:after="0" w:line="20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6"/>
          <w:szCs w:val="16"/>
          <w:color w:val="auto"/>
        </w:rPr>
        <w:t>In the second quarter of fiscal 2013, our Board of Directors authorized the repurchase of shares in an amount up to $300 million, inclusive of amounts remaining under previous authorizations. In the third quarter of 2013, our Board approved an additional $400 million share repurchase authorization. The total remaining capacity under the repurchase authorizations as of December 28, 2013, was approximately $267.2 million.</w:t>
      </w:r>
    </w:p>
    <w:p>
      <w:pPr>
        <w:spacing w:after="0" w:line="15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Future repurchases may be made in the open market or in privately negotiated transactions, with the level and timing of activity being at management's discretion depending on market conditions, share price, other investment priorities, and other factors. The authorizations have no expiration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Open Market Purchases</w:t>
      </w:r>
    </w:p>
    <w:p>
      <w:pPr>
        <w:spacing w:after="0" w:line="20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6"/>
          <w:szCs w:val="16"/>
          <w:color w:val="auto"/>
        </w:rPr>
        <w:t>During the fiscal year ended December 28, 2013, we repurchased and retired 816,402 shares with an average share price of $66.31 for an aggregate cost of approximately $54.1 million, in open market transactions.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Accelerated Stock Repurchase Program</w:t>
      </w:r>
    </w:p>
    <w:p>
      <w:pPr>
        <w:spacing w:after="0" w:line="208"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6"/>
          <w:szCs w:val="16"/>
          <w:color w:val="auto"/>
        </w:rPr>
        <w:t>On August 29, 2013, we entered into a $300 million fixed dollar uncollared accelerated stock repurchase agreement (the “Uncollared ASR Agreement”) and a $100 million fixed dollar collared accelerated stock repurchase agreement (the “Collared ASR Agreement”), each with JPMorgan Chase Bank, N. A. ("JPMorgan").</w:t>
      </w:r>
    </w:p>
    <w:p>
      <w:pPr>
        <w:spacing w:after="0" w:line="14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Under the Uncollared ASR Agreement, we paid $300 million from cash on hand to JPMorgan to repurchase outstanding shares of our common stock. Under the Collared ASR Agreement, we paid $100 million from cash on hand to JPMorgan to repurchase outstanding shares of our common stock. As of December 28, 2013, JPMorgan had delivered approximately 4.6 million shares to us with a fair market value, at trade date, of approximately $328.4 million. On January 27, 2014, JPMorgan delivered approximately one million shares to us, with a fair market value of approximately $70.3 million, as part of the final settlement of the ASR Agreements bringing the total number of shares repurchased to approximately 5.6 million. All shares received under the ASR Agreements were retired upon receipt.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In the second, third and fourth fiscal quarters of 2013, our Board of Directors authorized quarterly cash dividends of $0.16 per share. The dividends were paid during the fiscal quarter in which they were declared. 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56"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6"/>
          <w:szCs w:val="16"/>
          <w:color w:val="auto"/>
        </w:rPr>
        <w:t>Provisions in our secured revolving credit facility and indenture governing its senior notes could have the effect of restricting our ability to pay future cash dividends on or make future repurchases of its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COMMITMENTS</w:t>
      </w:r>
    </w:p>
    <w:p>
      <w:pPr>
        <w:spacing w:after="0" w:line="208"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6"/>
          <w:szCs w:val="16"/>
          <w:color w:val="auto"/>
        </w:rPr>
        <w:t>The following table summarizes as of December 28, 2013, the maturity or expiration dates of mandatory contractual obligations- and commitments for the following fiscal years: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00" w:type="dxa"/>
            <w:vAlign w:val="bottom"/>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8"/>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186,000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400,000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586,000</w:t>
            </w:r>
          </w:p>
        </w:tc>
      </w:tr>
      <w:tr>
        <w:trPr>
          <w:trHeight w:val="21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debt (a)</w:t>
            </w: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175,733</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104,517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100,617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91,417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86,007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302,405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766,220</w:t>
            </w: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financial obligations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129,535</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125,635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116,435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295,686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102,257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758,405</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1,527,953</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46"/>
        </w:trPr>
        <w:tc>
          <w:tcPr>
            <w:tcW w:w="3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Letters of credit</w:t>
            </w: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9,506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9,506</w:t>
            </w:r>
          </w:p>
        </w:tc>
      </w:tr>
      <w:tr>
        <w:trPr>
          <w:trHeight w:val="25"/>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financial obligations and commitments (b)</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139,041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125,635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116,435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295,686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102,257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758,405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1,537,459</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580" w:right="400" w:firstLine="2"/>
        <w:spacing w:after="0" w:line="288" w:lineRule="auto"/>
        <w:tabs>
          <w:tab w:leader="none" w:pos="8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estimated variable rate interest on obligations outstanding on our secured revolving credit facility and senior notes as of December 28, 2013 using an interest rate of 2.16% (rate in effect at December 28, 2013) and 5.25%, respectively.</w:t>
      </w:r>
    </w:p>
    <w:p>
      <w:pPr>
        <w:spacing w:after="0" w:line="142"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above excludes our reserves for income taxes, as we are unable to reasonably predict the ultimate amount or timing of settlement.</w:t>
      </w:r>
    </w:p>
    <w:p>
      <w:pPr>
        <w:spacing w:after="0" w:line="205" w:lineRule="exact"/>
        <w:rPr>
          <w:rFonts w:ascii="Times New Roman" w:cs="Times New Roman" w:eastAsia="Times New Roman" w:hAnsi="Times New Roman"/>
          <w:sz w:val="16"/>
          <w:szCs w:val="16"/>
          <w:color w:val="auto"/>
        </w:rPr>
      </w:pPr>
    </w:p>
    <w:p>
      <w:pPr>
        <w:ind w:left="580" w:right="260" w:firstLine="2"/>
        <w:spacing w:after="0" w:line="288" w:lineRule="auto"/>
        <w:tabs>
          <w:tab w:leader="none" w:pos="8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above excludes purchase obligations. Our estimate as of December 28, 2013 for commitments to purchase inventory in the normal course of business, which are cancellable (with or without penalty, depending on the stage of production) and span a period of one year or less is estimated to be $350 - $450 million.</w:t>
      </w:r>
    </w:p>
    <w:p>
      <w:pPr>
        <w:spacing w:after="0" w:line="14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In addition to the total contractual obligations and commitments in the table above, we have post-retirement benefit obligations and contingent consideration liabilities, which are included in other current and other long-term liabilities, as further described in our notes to the accompanying audited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 OUTLOOK</w:t>
      </w:r>
    </w:p>
    <w:p>
      <w:pPr>
        <w:spacing w:after="0" w:line="20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6"/>
          <w:szCs w:val="16"/>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INFLATION AND DEFLATION</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 recent years, we have experienced increased costs of cotton, labor, fuel, and transportation, and have also had higher costs for foreign sourced products as a result of the devaluation of the U.S. dollar relative to certain foreign currencies. While we raised our selling prices on many of our products over the past two years, we have been unable to fully absorb the cost increases and our profitability has been adversely impacted. In recent years, the Company experienced deflationary pressure on its selling prices, in part driven by intense price competition in the young children's apparel industry. We anticipate increased product costs in 2014 due to higher labor costs for our foreign manufacturers. If future product cost increases are more than anticipated, or if we are unable to offset such cost increases through selling price increases or otherwise, our profitability could be adversely affected. Future deflationary pressures on our selling prices could also adversely affect our profitability.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0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year. Accordingly, our results of operations during the first half of the year may not be indicative of the results we expect for the full year.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40"/>
          </w:cols>
          <w:pgMar w:left="240" w:top="121" w:right="219" w:bottom="1440" w:gutter="0" w:footer="0" w:header="0"/>
        </w:sectPr>
      </w:pPr>
    </w:p>
    <w:bookmarkStart w:id="37" w:name="page38"/>
    <w:bookmarkEnd w:id="37"/>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6"/>
          <w:szCs w:val="16"/>
          <w:color w:val="auto"/>
        </w:rPr>
        <w:t>Our significant accounting policies are described in our accompanying audited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recognize wholesale and eCommerce revenue after shipment of products to customers, when title passes, when all risks and rewards of ownership have transferred, the sales price is fixed or determinable, and collectibility is reasonably assured. In certain cases, in which we retain the risk of loss during shipment, revenue recognition does not occur until the goods have reached the specified customer. In the normal course of business, we grant certain accommodations and allowances to our wholesale customers to assist these customers with inventory clearance or promotions. Such amounts are reflected as a reduction of net sales and are recorded based upon agreements with customers, historical trends, and annual forecasts. Retail store revenues are recognized at the point of sale. We reduce revenue for estimated customer returns and deductions. We also maintain an allowance for doubtful accounts for estimated losses resulting from the inability of our customers to make payments and other actual and estimated deductions. If the financial condition of our customers were to deteriorate, resulting in an impairment of their ability to make payments, an additional allowance could be required. Past due balances over 90 days are reviewed individually for collectability. Our credit and collections department reviews all other balances regularly. Account balances are charged off against the allowance when we believe it is probable the receivable will not be recovered.</w:t>
      </w:r>
    </w:p>
    <w:p>
      <w:pPr>
        <w:spacing w:after="0" w:line="205"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6"/>
          <w:szCs w:val="16"/>
          <w:color w:val="auto"/>
        </w:rPr>
        <w:t>We record cooperative advertising arrangements with major wholesale customers at fair value. Such fair value is determined based upon, among other factors, comparable market analysis for similar advertisements. We have included the fair value of these arrangements as a component of selling, general, and administrative expenses on the accompanying consolidated statements of operations rather than as a reduction of revenue. Amounts determined to be in excess of the fair value of these arrangements are recorded as a reduction of net sales.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INVENTORY</w:t>
      </w:r>
    </w:p>
    <w:p>
      <w:pPr>
        <w:spacing w:after="0" w:line="2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6"/>
          <w:szCs w:val="16"/>
          <w:color w:val="auto"/>
        </w:rPr>
        <w:t>We provide reserves for slow-moving inventory equal to the difference between the cost of inventory and the estimated market value based upon assumptions about future demand and market conditions. If actual market conditions are less favorable than we project, additional write-downs may be required.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AND TRADENAME</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carrying values of the goodwill and indefinite lived tradename assets are subject to annual impairment reviews as of the last day of each fiscal year. Impairment reviews may also be triggered by any significant events or changes in circumstances affecting our business. Factors affecting such impairment reviews include the continued market acceptance of our offered products and the development of new products. We use discounted cash flow models for quantitative assessments to determine the fair value of these assets, using assumptions we believe hypothetical marketplace participants would use. For indefinite-lived intangible assets, if the carrying amount exceeds the fair value, an impairment charge is recognized in the amount equal to that excess. For indefinite-lived intangibles, we may utilize a qualitative assessment, as described below, to determine whether the fair value of the indefinite-lived asset is less than its carrying value.</w:t>
      </w:r>
    </w:p>
    <w:p>
      <w:pPr>
        <w:spacing w:after="0" w:line="16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6"/>
          <w:szCs w:val="16"/>
          <w:color w:val="auto"/>
        </w:rPr>
        <w:t>We perform impairment tests of goodwill at the reporting unit level. We may utilize a qualitative assessment to determine if it is "more likely than not" that the fair value of the reporting unit is less than its carrying value. If so, it is determined that the two-step goodwill impairment test using quantitative assessments is required to be performed. If not, no further testing is required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6"/>
          <w:szCs w:val="16"/>
          <w:color w:val="auto"/>
        </w:rPr>
        <w:t>and the relevant qualitative factors supporting the strength in fair value are documented. Qualitative factors may include, but are not limited to: macroeconomic conditions; industry and market considerations; cost factors that may have a negative effect on earnings; overall financial performance; and other relevant entity-specific events.</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Under the quantitative assessment, the first step is to compare the fair value of a reporting unit to its carrying value, including goodwill. We use discounted cash flow models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upon our most recent assessment, performed as of December 28, 2013, there was no impairment in the value of goodwill or indefinite-lived tradename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ACCRUED EXPENSES</w:t>
      </w:r>
    </w:p>
    <w:p>
      <w:pPr>
        <w:spacing w:after="0" w:line="20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CONTINGENCIES</w:t>
      </w: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advisors and is based on an analysis of possible outcomes under various strategies. Loss contingency assumptions involve judgments that are inherently subjective and can involve matters that are in litigation, which, by its nature is unpredictable. We believe that our assessment of the probability of loss contingencies is reasonable, but because of the subjectivity involved and the unpredictable nature of the subject matter at issue, our assessment may prove ultimately to be incorrect, which could materially impact our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INCOME TAXES</w:t>
      </w:r>
    </w:p>
    <w:p>
      <w:pPr>
        <w:spacing w:after="0" w:line="20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As part of the process of preparing the accompanying audited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determine whether it is "more likely than not" that a tax position will be sustained upon the examination by the appropriate taxing authorities before any part of the benefit can be recorded in the financial statements. For those income tax positions where it is not “more likely than not” that a tax benefit will be sustained, no tax benefit has been recognized in the financial statements. Where applicable, associated interest and penalties are also recognized.</w:t>
      </w:r>
    </w:p>
    <w:p>
      <w:pPr>
        <w:spacing w:after="0" w:line="16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00"/>
          </w:cols>
          <w:pgMar w:left="240" w:top="121" w:right="259" w:bottom="1440" w:gutter="0" w:footer="0" w:header="0"/>
        </w:sectPr>
      </w:pPr>
    </w:p>
    <w:bookmarkStart w:id="39" w:name="page40"/>
    <w:bookmarkEnd w:id="39"/>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such allowance in a period, we must include an expense within the tax provision in the accompanying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208"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6"/>
          <w:szCs w:val="16"/>
          <w:color w:val="auto"/>
        </w:rPr>
        <w:t>The functional currency of substantially all of our foreign operations is the local currency.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BENEFIT PLANS</w:t>
      </w: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sponsor a defined contribution (401(k)) plan,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future obligation under our pension plan not funded from investment returns on plan assets will be funded from cash flows from operations.</w:t>
      </w:r>
    </w:p>
    <w:p>
      <w:pPr>
        <w:spacing w:after="0" w:line="206"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6"/>
          <w:szCs w:val="16"/>
          <w:color w:val="auto"/>
        </w:rPr>
        <w:t>The most significant assumption used to determine the Company's projected benefit obligation under its defined benefit plans is the discount rate. See the employee benefit plans footnote to our accompanying audited consolidated financial statements for further details on rates and assumptions.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ARRANGEMENTS</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141"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Volatility </w:t>
      </w:r>
      <w:r>
        <w:rPr>
          <w:rFonts w:ascii="Times New Roman" w:cs="Times New Roman" w:eastAsia="Times New Roman" w:hAnsi="Times New Roman"/>
          <w:sz w:val="16"/>
          <w:szCs w:val="16"/>
          <w:color w:val="auto"/>
        </w:rPr>
        <w:t>– This is a measure of the amount by which a stock price has fluctuated or is expected to fluctuate. We use actual monthly historical changes in the market value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stock covering the expected life of stock options being valued. An increase in the expected volatility will increase compensation expense.</w:t>
      </w:r>
    </w:p>
    <w:p>
      <w:pPr>
        <w:spacing w:after="0" w:line="138"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 This is the U.S. Treasury rate as of the grant date having a term equal to the expected term of the stock option. An increase in the risk-free interest 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increase compensation expense.</w:t>
      </w:r>
    </w:p>
    <w:p>
      <w:pPr>
        <w:spacing w:after="0" w:line="13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This is the period of time over which the stock options granted are expected to remain outstanding and is based on historical experience and estimated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exercise behavior. Separate groups of employees that have similar historical exercise behavior are considered separately for valuation purposes. An increase in the expected term will increase compensation expense.</w:t>
      </w:r>
    </w:p>
    <w:p>
      <w:pPr>
        <w:spacing w:after="0" w:line="154"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Dividend yield </w:t>
      </w:r>
      <w:r>
        <w:rPr>
          <w:rFonts w:ascii="Times New Roman" w:cs="Times New Roman" w:eastAsia="Times New Roman" w:hAnsi="Times New Roman"/>
          <w:sz w:val="16"/>
          <w:szCs w:val="16"/>
          <w:color w:val="auto"/>
        </w:rPr>
        <w:t>– We estimate a dividend yield based on the current dividend amount as a percentage of our current stock price. An increase in the dividend yield will decrease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stock-based compensation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Forfeitures </w:t>
      </w:r>
      <w:r>
        <w:rPr>
          <w:rFonts w:ascii="Times New Roman" w:cs="Times New Roman" w:eastAsia="Times New Roman" w:hAnsi="Times New Roman"/>
          <w:sz w:val="16"/>
          <w:szCs w:val="16"/>
          <w:color w:val="auto"/>
        </w:rPr>
        <w:t>– We estimate forfeitures of stock-based awards based on historical experience and expected future activity.</w:t>
      </w:r>
    </w:p>
    <w:p>
      <w:pPr>
        <w:spacing w:after="0" w:line="20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6"/>
          <w:szCs w:val="16"/>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4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6"/>
          <w:szCs w:val="16"/>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its probability assessment.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40"/>
          </w:cols>
          <w:pgMar w:left="240" w:top="121" w:right="219" w:bottom="1440" w:gutter="0" w:footer="0" w:header="0"/>
        </w:sectPr>
      </w:pPr>
    </w:p>
    <w:bookmarkStart w:id="40" w:name="page41"/>
    <w:bookmarkEnd w:id="40"/>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Statements contained herein that relate to our future performance, including, without limitation, statements with respect to our anticipated results of operations or level of business for fiscal 2013 or any other future period, are forward-looking statements within the meaning of the safe harbor provisions of the Private Securities Litigation Reform Act of 1995. Such statements are based on current expectations only and are subject to certain risks, uncertainties, and assumptions. Should one or more of these risks or uncertainties materialize, or should underlying assumptions prove incorrect, actual results may vary materially from those anticipated, estimated, or projected. These risks are described herein under Item 1A of Part I. We undertake no obligation to publicly update or revise any forward-looking statements, whether as a result of new information, future events, or otherwise.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360"/>
          </w:cols>
          <w:pgMar w:left="240" w:top="121" w:right="299" w:bottom="1440" w:gutter="0" w:footer="0" w:header="0"/>
        </w:sectPr>
      </w:pPr>
    </w:p>
    <w:bookmarkStart w:id="41" w:name="page42"/>
    <w:bookmarkEnd w:id="41"/>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7A.</w:t>
        <w:tab/>
        <w:t>QUANTITATIVE AND QUALITATIVE DISCLOSURES ABOUT MARKET RISK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CURRENCY AND INTEREST RATE RISKS</w:t>
      </w:r>
    </w:p>
    <w:p>
      <w:pPr>
        <w:spacing w:after="0" w:line="20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In the operation of our business, we have market risk exposures including those related to foreign currency risk and interest rates. These risks and our strategies to manage our exposure to them are discussed below.</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We contract for production with third parties primarily in Asia. While these contracts are stated in United States dollars, there can be no assurance that the cost for the future production of our products will not be affected by exchange rate fluctuations between the United States dollar and the local currencies of these contractors. Due to the number of currencies involved, we cannot quantify the potential impact of future currency fluctuations on net income (loss) in future years. To date, such exchange fluctuations have not had a material impact on our financial condition or results of operations. Foreign currency translation negatively impacted net sales by approximately $6.8 million in fiscal 2013.</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Transactions by our Canadian subsidiary may be denominated in a currency other than the entity’s functional currency, which is the Canadian dollar. Fluctuations in exchange rates, primarily between the United States dollar and the Canadian dollar, may affect our results of operations, financial position, and cash flows. From time to time, we have employed foreign exchange contracts to hedge foreign currency exchange rate risk associated with the procurement of U.S. dollar denominated finished goods destined for the Canadian market. These foreign exchange contracts are marked to market at the end of each reporting period, which could result in earnings volatility. In fiscal 2013, we had no outstanding foreign exchange contracts.</w:t>
      </w:r>
    </w:p>
    <w:p>
      <w:pPr>
        <w:spacing w:after="0" w:line="16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Our operating results are subject to risk from interest rate fluctuations on our secured revolving credit facility, which carries variable interest rates. As of December 28, 2013, our outstanding variable rate debt aggregated approximately $186.0 million. Weighted-average variable rate borrowings for fiscal 2013 were $186.0 million. An increase or decrease of 1% in the effective interest rate would have increased or decreased our fiscal 2013 interest cost by approximately $1.9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RISKS</w:t>
      </w:r>
    </w:p>
    <w:p>
      <w:pPr>
        <w:spacing w:after="0" w:line="20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6"/>
          <w:szCs w:val="16"/>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340"/>
          </w:cols>
          <w:pgMar w:left="240" w:top="53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3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0" w:lineRule="exact"/>
        <w:rPr>
          <w:sz w:val="20"/>
          <w:szCs w:val="20"/>
          <w:color w:val="auto"/>
        </w:rPr>
      </w:pPr>
    </w:p>
    <w:p>
      <w:pPr>
        <w:spacing w:after="0" w:line="339"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24"/>
        </w:trPr>
        <w:tc>
          <w:tcPr>
            <w:tcW w:w="38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Report of Independent Registered Public Accounting Firm</w:t>
              </w:r>
            </w:hyperlink>
          </w:p>
        </w:tc>
        <w:tc>
          <w:tcPr>
            <w:tcW w:w="4860" w:type="dxa"/>
            <w:vAlign w:val="bottom"/>
            <w:gridSpan w:val="6"/>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FF"/>
            </w:tcBorders>
          </w:tcPr>
          <w:p>
            <w:pPr>
              <w:jc w:val="cente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41</w:t>
              </w:r>
            </w:hyperlink>
          </w:p>
        </w:tc>
        <w:tc>
          <w:tcPr>
            <w:tcW w:w="60" w:type="dxa"/>
            <w:vAlign w:val="bottom"/>
          </w:tcPr>
          <w:p>
            <w:pPr>
              <w:spacing w:after="0"/>
              <w:rPr>
                <w:sz w:val="19"/>
                <w:szCs w:val="19"/>
                <w:color w:val="auto"/>
              </w:rPr>
            </w:pPr>
          </w:p>
        </w:tc>
      </w:tr>
      <w:tr>
        <w:trPr>
          <w:trHeight w:val="224"/>
        </w:trPr>
        <w:tc>
          <w:tcPr>
            <w:tcW w:w="49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Consolidated Balance Sheets at December 28, 2013 and December 29, 2012</w:t>
              </w:r>
            </w:hyperlink>
          </w:p>
        </w:tc>
        <w:tc>
          <w:tcPr>
            <w:tcW w:w="3720" w:type="dxa"/>
            <w:vAlign w:val="bottom"/>
            <w:gridSpan w:val="5"/>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FF"/>
            </w:tcBorders>
          </w:tcPr>
          <w:p>
            <w:pPr>
              <w:jc w:val="cente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42</w:t>
              </w:r>
            </w:hyperlink>
          </w:p>
        </w:tc>
        <w:tc>
          <w:tcPr>
            <w:tcW w:w="60" w:type="dxa"/>
            <w:vAlign w:val="bottom"/>
          </w:tcPr>
          <w:p>
            <w:pPr>
              <w:spacing w:after="0"/>
              <w:rPr>
                <w:sz w:val="19"/>
                <w:szCs w:val="19"/>
                <w:color w:val="auto"/>
              </w:rPr>
            </w:pPr>
          </w:p>
        </w:tc>
      </w:tr>
      <w:tr>
        <w:trPr>
          <w:trHeight w:val="224"/>
        </w:trPr>
        <w:tc>
          <w:tcPr>
            <w:tcW w:w="8680" w:type="dxa"/>
            <w:vAlign w:val="bottom"/>
            <w:gridSpan w:val="12"/>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Consolidated Statements of Operations for the fiscal years ended December 28, 2013, December 29, 2012, and December 31,</w:t>
              </w:r>
            </w:hyperlink>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320" w:type="dxa"/>
            <w:vAlign w:val="bottom"/>
            <w:tcBorders>
              <w:top w:val="single" w:sz="8" w:color="0000FF"/>
              <w:bottom w:val="single" w:sz="8" w:color="0000FF"/>
            </w:tcBorders>
          </w:tcPr>
          <w:p>
            <w:pPr>
              <w:spacing w:after="0" w:line="175" w:lineRule="exact"/>
              <w:rPr>
                <w:rFonts w:ascii="Times New Roman" w:cs="Times New Roman" w:eastAsia="Times New Roman" w:hAnsi="Times New Roman"/>
                <w:sz w:val="16"/>
                <w:szCs w:val="16"/>
                <w:color w:val="0000FF"/>
                <w:w w:val="93"/>
              </w:rPr>
            </w:pPr>
            <w:hyperlink w:anchor="page45">
              <w:r>
                <w:rPr>
                  <w:rFonts w:ascii="Times New Roman" w:cs="Times New Roman" w:eastAsia="Times New Roman" w:hAnsi="Times New Roman"/>
                  <w:sz w:val="16"/>
                  <w:szCs w:val="16"/>
                  <w:color w:val="0000FF"/>
                  <w:w w:val="93"/>
                </w:rPr>
                <w:t>2011</w:t>
              </w:r>
            </w:hyperlink>
          </w:p>
        </w:tc>
        <w:tc>
          <w:tcPr>
            <w:tcW w:w="2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5"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43</w:t>
              </w:r>
            </w:hyperlink>
          </w:p>
        </w:tc>
        <w:tc>
          <w:tcPr>
            <w:tcW w:w="60" w:type="dxa"/>
            <w:vAlign w:val="bottom"/>
          </w:tcPr>
          <w:p>
            <w:pPr>
              <w:spacing w:after="0"/>
              <w:rPr>
                <w:sz w:val="15"/>
                <w:szCs w:val="15"/>
                <w:color w:val="auto"/>
              </w:rPr>
            </w:pPr>
          </w:p>
        </w:tc>
      </w:tr>
      <w:tr>
        <w:trPr>
          <w:trHeight w:val="224"/>
        </w:trPr>
        <w:tc>
          <w:tcPr>
            <w:tcW w:w="80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Consolidated Statements of Comprehensive Income for the fiscal years ended December 28, 2013, December 29, 2012, and</w:t>
              </w:r>
            </w:hyperlink>
          </w:p>
        </w:tc>
        <w:tc>
          <w:tcPr>
            <w:tcW w:w="6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1280" w:type="dxa"/>
            <w:vAlign w:val="bottom"/>
            <w:tcBorders>
              <w:bottom w:val="single" w:sz="8" w:color="0000FF"/>
            </w:tcBorders>
            <w:gridSpan w:val="3"/>
          </w:tcPr>
          <w:p>
            <w:pPr>
              <w:spacing w:after="0" w:line="175" w:lineRule="exact"/>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December 31, 2011</w:t>
              </w:r>
            </w:hyperlink>
          </w:p>
        </w:tc>
        <w:tc>
          <w:tcPr>
            <w:tcW w:w="7400" w:type="dxa"/>
            <w:vAlign w:val="bottom"/>
            <w:gridSpan w:val="9"/>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5" w:lineRule="exact"/>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44</w:t>
              </w:r>
            </w:hyperlink>
          </w:p>
        </w:tc>
        <w:tc>
          <w:tcPr>
            <w:tcW w:w="60" w:type="dxa"/>
            <w:vAlign w:val="bottom"/>
          </w:tcPr>
          <w:p>
            <w:pPr>
              <w:spacing w:after="0"/>
              <w:rPr>
                <w:sz w:val="15"/>
                <w:szCs w:val="15"/>
                <w:color w:val="auto"/>
              </w:rPr>
            </w:pPr>
          </w:p>
        </w:tc>
      </w:tr>
      <w:tr>
        <w:trPr>
          <w:trHeight w:val="224"/>
        </w:trPr>
        <w:tc>
          <w:tcPr>
            <w:tcW w:w="8680" w:type="dxa"/>
            <w:vAlign w:val="bottom"/>
            <w:gridSpan w:val="12"/>
          </w:tcPr>
          <w:p>
            <w:pPr>
              <w:spacing w:after="0"/>
              <w:rPr>
                <w:rFonts w:ascii="Times New Roman" w:cs="Times New Roman" w:eastAsia="Times New Roman" w:hAnsi="Times New Roman"/>
                <w:sz w:val="16"/>
                <w:szCs w:val="16"/>
                <w:color w:val="0000FF"/>
              </w:rPr>
            </w:pPr>
            <w:hyperlink w:anchor="page47">
              <w:r>
                <w:rPr>
                  <w:rFonts w:ascii="Times New Roman" w:cs="Times New Roman" w:eastAsia="Times New Roman" w:hAnsi="Times New Roman"/>
                  <w:sz w:val="16"/>
                  <w:szCs w:val="16"/>
                  <w:color w:val="0000FF"/>
                </w:rPr>
                <w:t>Consolidated Statements of Cash Flows for the fiscal years ended December 28, 2013, December 29, 2012, and December</w:t>
              </w:r>
            </w:hyperlink>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580" w:type="dxa"/>
            <w:vAlign w:val="bottom"/>
            <w:tcBorders>
              <w:top w:val="single" w:sz="8" w:color="0000FF"/>
              <w:bottom w:val="single" w:sz="8" w:color="0000FF"/>
            </w:tcBorders>
            <w:gridSpan w:val="2"/>
          </w:tcPr>
          <w:p>
            <w:pPr>
              <w:spacing w:after="0" w:line="175" w:lineRule="exact"/>
              <w:rPr>
                <w:rFonts w:ascii="Times New Roman" w:cs="Times New Roman" w:eastAsia="Times New Roman" w:hAnsi="Times New Roman"/>
                <w:sz w:val="16"/>
                <w:szCs w:val="16"/>
                <w:color w:val="0000FF"/>
                <w:w w:val="99"/>
              </w:rPr>
            </w:pPr>
            <w:hyperlink w:anchor="page47">
              <w:r>
                <w:rPr>
                  <w:rFonts w:ascii="Times New Roman" w:cs="Times New Roman" w:eastAsia="Times New Roman" w:hAnsi="Times New Roman"/>
                  <w:sz w:val="16"/>
                  <w:szCs w:val="16"/>
                  <w:color w:val="0000FF"/>
                  <w:w w:val="99"/>
                </w:rPr>
                <w:t>31, 2011</w:t>
              </w:r>
            </w:hyperlink>
          </w:p>
        </w:tc>
        <w:tc>
          <w:tcPr>
            <w:tcW w:w="7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5" w:lineRule="exact"/>
              <w:rPr>
                <w:rFonts w:ascii="Times New Roman" w:cs="Times New Roman" w:eastAsia="Times New Roman" w:hAnsi="Times New Roman"/>
                <w:sz w:val="16"/>
                <w:szCs w:val="16"/>
                <w:color w:val="0000FF"/>
              </w:rPr>
            </w:pPr>
            <w:hyperlink w:anchor="page47">
              <w:r>
                <w:rPr>
                  <w:rFonts w:ascii="Times New Roman" w:cs="Times New Roman" w:eastAsia="Times New Roman" w:hAnsi="Times New Roman"/>
                  <w:sz w:val="16"/>
                  <w:szCs w:val="16"/>
                  <w:color w:val="0000FF"/>
                </w:rPr>
                <w:t>45</w:t>
              </w:r>
            </w:hyperlink>
          </w:p>
        </w:tc>
        <w:tc>
          <w:tcPr>
            <w:tcW w:w="60" w:type="dxa"/>
            <w:vAlign w:val="bottom"/>
          </w:tcPr>
          <w:p>
            <w:pPr>
              <w:spacing w:after="0"/>
              <w:rPr>
                <w:sz w:val="15"/>
                <w:szCs w:val="15"/>
                <w:color w:val="auto"/>
              </w:rPr>
            </w:pPr>
          </w:p>
        </w:tc>
      </w:tr>
      <w:tr>
        <w:trPr>
          <w:trHeight w:val="224"/>
        </w:trPr>
        <w:tc>
          <w:tcPr>
            <w:tcW w:w="8680" w:type="dxa"/>
            <w:vAlign w:val="bottom"/>
            <w:gridSpan w:val="12"/>
          </w:tcPr>
          <w:p>
            <w:pPr>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Consolidated Statements of Changes in Stockholders' Equity for the fiscal years ended December 28, 2013, December 29,</w:t>
              </w:r>
            </w:hyperlink>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1960" w:type="dxa"/>
            <w:vAlign w:val="bottom"/>
            <w:tcBorders>
              <w:top w:val="single" w:sz="8" w:color="0000FF"/>
              <w:bottom w:val="single" w:sz="8" w:color="0000FF"/>
            </w:tcBorders>
            <w:gridSpan w:val="4"/>
          </w:tcPr>
          <w:p>
            <w:pPr>
              <w:spacing w:after="0" w:line="175" w:lineRule="exact"/>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2012, and December 31, 2011</w:t>
              </w:r>
            </w:hyperlink>
          </w:p>
        </w:tc>
        <w:tc>
          <w:tcPr>
            <w:tcW w:w="5960" w:type="dxa"/>
            <w:vAlign w:val="bottom"/>
            <w:tcBorders>
              <w:top w:val="single" w:sz="8" w:color="0000FF"/>
            </w:tcBorders>
            <w:gridSpan w:val="4"/>
          </w:tcPr>
          <w:p>
            <w:pPr>
              <w:spacing w:after="0"/>
              <w:rPr>
                <w:sz w:val="15"/>
                <w:szCs w:val="15"/>
                <w:color w:val="auto"/>
              </w:rPr>
            </w:pPr>
          </w:p>
        </w:tc>
        <w:tc>
          <w:tcPr>
            <w:tcW w:w="7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5" w:lineRule="exact"/>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46</w:t>
              </w:r>
            </w:hyperlink>
          </w:p>
        </w:tc>
        <w:tc>
          <w:tcPr>
            <w:tcW w:w="60" w:type="dxa"/>
            <w:vAlign w:val="bottom"/>
          </w:tcPr>
          <w:p>
            <w:pPr>
              <w:spacing w:after="0"/>
              <w:rPr>
                <w:sz w:val="15"/>
                <w:szCs w:val="15"/>
                <w:color w:val="auto"/>
              </w:rPr>
            </w:pPr>
          </w:p>
        </w:tc>
      </w:tr>
      <w:tr>
        <w:trPr>
          <w:trHeight w:val="224"/>
        </w:trPr>
        <w:tc>
          <w:tcPr>
            <w:tcW w:w="8680" w:type="dxa"/>
            <w:vAlign w:val="bottom"/>
            <w:gridSpan w:val="12"/>
          </w:tcPr>
          <w:p>
            <w:pPr>
              <w:spacing w:after="0"/>
              <w:rPr>
                <w:rFonts w:ascii="Times New Roman" w:cs="Times New Roman" w:eastAsia="Times New Roman" w:hAnsi="Times New Roman"/>
                <w:sz w:val="16"/>
                <w:szCs w:val="16"/>
                <w:color w:val="0000FF"/>
              </w:rPr>
            </w:pPr>
            <w:hyperlink w:anchor="page47">
              <w:r>
                <w:rPr>
                  <w:rFonts w:ascii="Times New Roman" w:cs="Times New Roman" w:eastAsia="Times New Roman" w:hAnsi="Times New Roman"/>
                  <w:sz w:val="16"/>
                  <w:szCs w:val="16"/>
                  <w:color w:val="0000FF"/>
                </w:rPr>
                <w:t>Notes to Consolidated Financial Statements</w:t>
              </w:r>
            </w:hyperlink>
          </w:p>
        </w:tc>
        <w:tc>
          <w:tcPr>
            <w:tcW w:w="300" w:type="dxa"/>
            <w:vAlign w:val="bottom"/>
            <w:gridSpan w:val="3"/>
          </w:tcPr>
          <w:p>
            <w:pPr>
              <w:jc w:val="cente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47</w:t>
              </w:r>
            </w:hyperlink>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219"/>
          </w:cols>
          <w:pgMar w:left="240" w:top="45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Carter's, Inc.:</w:t>
      </w: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In our opinion, the accompanying consolidated financial statements listed in the accompanying index present fairly, in all material respects, the financial position of Carter's, Inc. and its subsidiaries at December 28, 2013 and December 29, 2012, and the results of their operations and their cash flows for each of the three years in the period ended December 28, 2013 in conformity with accounting principles generally accepted in the United States of America. Also in our opinion, the Company maintained, in all material respects, effective internal control over financial reporting as of December 28, 2013,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00"/>
          </w:cols>
          <w:pgMar w:left="240" w:top="900" w:right="25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color w:val="auto"/>
        </w:rPr>
        <w:t>(dollars 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286,546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382,236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Finished goods inventories, net</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417,754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349,530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970,381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307,885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170,110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 net</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189,749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Deferred debt issuance costs, net</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1,812,484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1,630,109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66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164,010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94,610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269,139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121,434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114,341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1,111,753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644,630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 or outstanding at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28, 2013 and December 29, 2012</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voting; par value $.01 per share; 150,000,000 shares authorized; 54,541,879 and</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59,126,639 shares issued and outstanding at December 28, 2013 and December 29, 2012,</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705,936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745,817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700,731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985,479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1,812,484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1,630,109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920"/>
          </w:cols>
          <w:pgMar w:left="1000" w:top="340" w:right="97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7"/>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r>
      <w:tr>
        <w:trPr>
          <w:trHeight w:val="25"/>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3"/>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25"/>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2,638,711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2,381,734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2,109,734</w:t>
            </w: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1,543,332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1,443,786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1,417,456</w:t>
            </w:r>
          </w:p>
        </w:tc>
      </w:tr>
      <w:tr>
        <w:trPr>
          <w:trHeight w:val="25"/>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1,095,379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937,948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692,278</w:t>
            </w: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868,480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713,211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542,086</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(37,274)</w:t>
            </w:r>
          </w:p>
        </w:tc>
      </w:tr>
      <w:tr>
        <w:trPr>
          <w:trHeight w:val="211"/>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264,151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261,986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187,466</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7,549</w:t>
            </w: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1"/>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249,465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255,391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180,888</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66,872</w:t>
            </w:r>
          </w:p>
        </w:tc>
      </w:tr>
      <w:tr>
        <w:trPr>
          <w:trHeight w:val="26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160,407</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161,150</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114,016</w:t>
            </w:r>
          </w:p>
        </w:tc>
      </w:tr>
      <w:tr>
        <w:trPr>
          <w:trHeight w:val="251"/>
        </w:trPr>
        <w:tc>
          <w:tcPr>
            <w:tcW w:w="5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040"/>
          </w:cols>
          <w:pgMar w:left="940" w:top="535" w:right="91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3"/>
        </w:trPr>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3"/>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2011</w:t>
            </w:r>
          </w:p>
        </w:tc>
      </w:tr>
      <w:tr>
        <w:trPr>
          <w:trHeight w:val="25"/>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160,407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161,150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114,016</w:t>
            </w:r>
          </w:p>
        </w:tc>
      </w:tr>
      <w:tr>
        <w:trPr>
          <w:trHeight w:val="218"/>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(loss) on OshKosh defined benefit plan, net of tax of ($3,660), $690, and</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$3,660, for the fiscal years 2013, 2012, and 2011,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6,238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(loss) on Carter's post-retirement benefit obligation, net of tax of ($210),</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1"/>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($107), and $36, for fiscal years 2013, 2012, and 2011, respectively</w:t>
            </w: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5"/>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r>
      <w:tr>
        <w:trPr>
          <w:trHeight w:val="211"/>
        </w:trPr>
        <w:tc>
          <w:tcPr>
            <w:tcW w:w="6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(9,392)</w:t>
            </w:r>
          </w:p>
        </w:tc>
      </w:tr>
      <w:tr>
        <w:trPr>
          <w:trHeight w:val="25"/>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161,530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104,624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40"/>
          </w:cols>
          <w:pgMar w:left="240" w:top="535" w:right="21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For the fiscal years ended</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28,</w:t>
            </w:r>
          </w:p>
        </w:tc>
        <w:tc>
          <w:tcPr>
            <w:tcW w:w="8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December 29,</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707"/>
              <w:spacing w:after="0"/>
              <w:rPr>
                <w:sz w:val="20"/>
                <w:szCs w:val="20"/>
                <w:color w:val="auto"/>
              </w:rPr>
            </w:pPr>
            <w:r>
              <w:rPr>
                <w:rFonts w:ascii="Times New Roman" w:cs="Times New Roman" w:eastAsia="Times New Roman" w:hAnsi="Times New Roman"/>
                <w:sz w:val="15"/>
                <w:szCs w:val="15"/>
                <w:b w:val="1"/>
                <w:bCs w:val="1"/>
                <w:color w:val="auto"/>
              </w:rPr>
              <w:t>2013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3"/>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December 31, 2011</w:t>
            </w:r>
          </w:p>
        </w:tc>
        <w:tc>
          <w:tcPr>
            <w:tcW w:w="0" w:type="dxa"/>
            <w:vAlign w:val="bottom"/>
          </w:tcPr>
          <w:p>
            <w:pPr>
              <w:spacing w:after="0"/>
              <w:rPr>
                <w:sz w:val="1"/>
                <w:szCs w:val="1"/>
                <w:color w:val="auto"/>
              </w:rPr>
            </w:pPr>
          </w:p>
        </w:tc>
      </w:tr>
      <w:tr>
        <w:trPr>
          <w:trHeight w:val="29"/>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160,407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161,150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114,016</w:t>
            </w: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54,915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39,848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32,735</w:t>
            </w:r>
          </w:p>
        </w:tc>
        <w:tc>
          <w:tcPr>
            <w:tcW w:w="0" w:type="dxa"/>
            <w:vAlign w:val="bottom"/>
          </w:tcPr>
          <w:p>
            <w:pPr>
              <w:spacing w:after="0"/>
              <w:rPr>
                <w:sz w:val="1"/>
                <w:szCs w:val="1"/>
                <w:color w:val="auto"/>
              </w:rPr>
            </w:pPr>
          </w:p>
        </w:tc>
      </w:tr>
      <w:tr>
        <w:trPr>
          <w:trHeight w:val="218"/>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H.W. Carter and Sons tradenames</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13,588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Bonnie Togs inventory step-up</w:t>
            </w:r>
          </w:p>
        </w:tc>
        <w:tc>
          <w:tcPr>
            <w:tcW w:w="3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6,672</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Accretion of contingent consideration</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2,825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2,484</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1,049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708</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16,040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13,049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9,644</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Income tax benefit from stock-based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(11,040)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(6,900)</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on disposal of property, plant, and equipment</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9,128</w:t>
            </w:r>
          </w:p>
        </w:tc>
        <w:tc>
          <w:tcPr>
            <w:tcW w:w="0" w:type="dxa"/>
            <w:vAlign w:val="bottom"/>
          </w:tcPr>
          <w:p>
            <w:pPr>
              <w:spacing w:after="0"/>
              <w:rPr>
                <w:sz w:val="1"/>
                <w:szCs w:val="1"/>
                <w:color w:val="auto"/>
              </w:rPr>
            </w:pPr>
          </w:p>
        </w:tc>
      </w:tr>
      <w:tr>
        <w:trPr>
          <w:trHeight w:val="202"/>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Effect of changes in operating assets and liabilities: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(26,064)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(33,222)</w:t>
            </w:r>
          </w:p>
        </w:tc>
        <w:tc>
          <w:tcPr>
            <w:tcW w:w="0" w:type="dxa"/>
            <w:vAlign w:val="bottom"/>
          </w:tcPr>
          <w:p>
            <w:pPr>
              <w:spacing w:after="0"/>
              <w:rPr>
                <w:sz w:val="1"/>
                <w:szCs w:val="1"/>
                <w:color w:val="auto"/>
              </w:rPr>
            </w:pPr>
          </w:p>
        </w:tc>
      </w:tr>
      <w:tr>
        <w:trPr>
          <w:trHeight w:val="214"/>
        </w:trPr>
        <w:tc>
          <w:tcPr>
            <w:tcW w:w="57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Inventories</w:t>
            </w:r>
          </w:p>
        </w:tc>
        <w:tc>
          <w:tcPr>
            <w:tcW w:w="30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(70,691)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(20,571)</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(18,716)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214"/>
        </w:trPr>
        <w:tc>
          <w:tcPr>
            <w:tcW w:w="57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86,515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89,709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(32,811)</w:t>
            </w:r>
          </w:p>
        </w:tc>
        <w:tc>
          <w:tcPr>
            <w:tcW w:w="0" w:type="dxa"/>
            <w:vAlign w:val="bottom"/>
          </w:tcPr>
          <w:p>
            <w:pPr>
              <w:spacing w:after="0"/>
              <w:rPr>
                <w:sz w:val="1"/>
                <w:szCs w:val="1"/>
                <w:color w:val="auto"/>
              </w:rPr>
            </w:pPr>
          </w:p>
        </w:tc>
      </w:tr>
      <w:tr>
        <w:trPr>
          <w:trHeight w:val="29"/>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209,696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278,619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81,074</w:t>
            </w:r>
          </w:p>
        </w:tc>
        <w:tc>
          <w:tcPr>
            <w:tcW w:w="0" w:type="dxa"/>
            <w:vAlign w:val="bottom"/>
          </w:tcPr>
          <w:p>
            <w:pPr>
              <w:spacing w:after="0"/>
              <w:rPr>
                <w:sz w:val="1"/>
                <w:szCs w:val="1"/>
                <w:color w:val="auto"/>
              </w:rPr>
            </w:pPr>
          </w:p>
        </w:tc>
      </w:tr>
      <w:tr>
        <w:trPr>
          <w:trHeight w:val="182"/>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(182,525)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(45,495)</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Acquisition of tradenames</w:t>
            </w:r>
          </w:p>
        </w:tc>
        <w:tc>
          <w:tcPr>
            <w:tcW w:w="30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Acquisition of Bonnie Togs, net of cash acquired</w:t>
            </w:r>
          </w:p>
        </w:tc>
        <w:tc>
          <w:tcPr>
            <w:tcW w:w="3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(61,207)</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3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9"/>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(220,532)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(83,392)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(106,692)</w:t>
            </w:r>
          </w:p>
        </w:tc>
        <w:tc>
          <w:tcPr>
            <w:tcW w:w="0" w:type="dxa"/>
            <w:vAlign w:val="bottom"/>
          </w:tcPr>
          <w:p>
            <w:pPr>
              <w:spacing w:after="0"/>
              <w:rPr>
                <w:sz w:val="1"/>
                <w:szCs w:val="1"/>
                <w:color w:val="auto"/>
              </w:rPr>
            </w:pPr>
          </w:p>
        </w:tc>
      </w:tr>
      <w:tr>
        <w:trPr>
          <w:trHeight w:val="182"/>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400,000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30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Borrowings under secured revolving credit facility</w:t>
            </w:r>
          </w:p>
        </w:tc>
        <w:tc>
          <w:tcPr>
            <w:tcW w:w="3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on secured revolving credit facility</w:t>
            </w:r>
          </w:p>
        </w:tc>
        <w:tc>
          <w:tcPr>
            <w:tcW w:w="3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(454,133)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 of contingent consideration</w:t>
            </w:r>
          </w:p>
        </w:tc>
        <w:tc>
          <w:tcPr>
            <w:tcW w:w="30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Dividends paid</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(27,715)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Income tax benefit from stock-based compensation</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11,040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6,900</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(5,052)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(2,181)</w:t>
            </w:r>
          </w:p>
        </w:tc>
        <w:tc>
          <w:tcPr>
            <w:tcW w:w="0" w:type="dxa"/>
            <w:vAlign w:val="bottom"/>
          </w:tcPr>
          <w:p>
            <w:pPr>
              <w:spacing w:after="0"/>
              <w:rPr>
                <w:sz w:val="1"/>
                <w:szCs w:val="1"/>
                <w:color w:val="auto"/>
              </w:rPr>
            </w:pPr>
          </w:p>
        </w:tc>
      </w:tr>
      <w:tr>
        <w:trPr>
          <w:trHeight w:val="214"/>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12,912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6,786</w:t>
            </w:r>
          </w:p>
        </w:tc>
        <w:tc>
          <w:tcPr>
            <w:tcW w:w="0" w:type="dxa"/>
            <w:vAlign w:val="bottom"/>
          </w:tcPr>
          <w:p>
            <w:pPr>
              <w:spacing w:after="0"/>
              <w:rPr>
                <w:sz w:val="1"/>
                <w:szCs w:val="1"/>
                <w:color w:val="auto"/>
              </w:rPr>
            </w:pPr>
          </w:p>
        </w:tc>
      </w:tr>
      <w:tr>
        <w:trPr>
          <w:trHeight w:val="29"/>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(84,658)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11,505</w:t>
            </w:r>
          </w:p>
        </w:tc>
        <w:tc>
          <w:tcPr>
            <w:tcW w:w="0" w:type="dxa"/>
            <w:vAlign w:val="bottom"/>
          </w:tcPr>
          <w:p>
            <w:pPr>
              <w:spacing w:after="0"/>
              <w:rPr>
                <w:sz w:val="1"/>
                <w:szCs w:val="1"/>
                <w:color w:val="auto"/>
              </w:rPr>
            </w:pPr>
          </w:p>
        </w:tc>
      </w:tr>
      <w:tr>
        <w:trPr>
          <w:trHeight w:val="194"/>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225</w:t>
            </w:r>
          </w:p>
        </w:tc>
        <w:tc>
          <w:tcPr>
            <w:tcW w:w="0" w:type="dxa"/>
            <w:vAlign w:val="bottom"/>
          </w:tcPr>
          <w:p>
            <w:pPr>
              <w:spacing w:after="0"/>
              <w:rPr>
                <w:sz w:val="1"/>
                <w:szCs w:val="1"/>
                <w:color w:val="auto"/>
              </w:rPr>
            </w:pPr>
          </w:p>
        </w:tc>
      </w:tr>
      <w:tr>
        <w:trPr>
          <w:trHeight w:val="29"/>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(95,690)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148,742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(13,888)</w:t>
            </w: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00" w:type="dxa"/>
            <w:vAlign w:val="bottom"/>
          </w:tcPr>
          <w:p>
            <w:pPr>
              <w:spacing w:after="0"/>
              <w:rPr>
                <w:sz w:val="18"/>
                <w:szCs w:val="18"/>
                <w:color w:val="auto"/>
              </w:rPr>
            </w:pPr>
          </w:p>
        </w:tc>
        <w:tc>
          <w:tcPr>
            <w:tcW w:w="15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382,236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233,494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247,382</w:t>
            </w:r>
          </w:p>
        </w:tc>
        <w:tc>
          <w:tcPr>
            <w:tcW w:w="0" w:type="dxa"/>
            <w:vAlign w:val="bottom"/>
          </w:tcPr>
          <w:p>
            <w:pPr>
              <w:spacing w:after="0"/>
              <w:rPr>
                <w:sz w:val="1"/>
                <w:szCs w:val="1"/>
                <w:color w:val="auto"/>
              </w:rPr>
            </w:pPr>
          </w:p>
        </w:tc>
      </w:tr>
      <w:tr>
        <w:trPr>
          <w:trHeight w:val="29"/>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286,546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382,236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233,494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440"/>
          </w:cols>
          <w:pgMar w:left="240" w:top="535" w:right="21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Accumulated other</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comprehensive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Common</w:t>
            </w: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4"/>
              </w:rPr>
              <w:t>Common</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paid-in</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60" w:type="dxa"/>
            <w:vAlign w:val="bottom"/>
          </w:tcPr>
          <w:p>
            <w:pPr>
              <w:spacing w:after="0"/>
              <w:rPr>
                <w:sz w:val="15"/>
                <w:szCs w:val="15"/>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stock - shares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stock - $</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60" w:type="dxa"/>
            <w:vAlign w:val="bottom"/>
          </w:tcPr>
          <w:p>
            <w:pPr>
              <w:spacing w:after="0"/>
              <w:rPr>
                <w:sz w:val="16"/>
                <w:szCs w:val="16"/>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9"/>
              </w:rPr>
              <w:t>equity</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2011</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57,493,567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210,600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(1,890)</w:t>
            </w:r>
          </w:p>
        </w:tc>
        <w:tc>
          <w:tcPr>
            <w:tcW w:w="10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470,651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679,936</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 from stock-based</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12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6,900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6,900</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821,336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6,786</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Withholdings from vesting of restricted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(70,827)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(2,181)</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312,825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8,474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8,474</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1,170</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 income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114,016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104,624</w:t>
            </w:r>
          </w:p>
        </w:tc>
        <w:tc>
          <w:tcPr>
            <w:tcW w:w="0" w:type="dxa"/>
            <w:vAlign w:val="bottom"/>
          </w:tcPr>
          <w:p>
            <w:pPr>
              <w:spacing w:after="0"/>
              <w:rPr>
                <w:sz w:val="1"/>
                <w:szCs w:val="1"/>
                <w:color w:val="auto"/>
              </w:rPr>
            </w:pPr>
          </w:p>
        </w:tc>
      </w:tr>
      <w:tr>
        <w:trPr>
          <w:trHeight w:val="22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2011</w:t>
            </w:r>
          </w:p>
        </w:tc>
        <w:tc>
          <w:tcPr>
            <w:tcW w:w="1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58,595,421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586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231,738</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(11,282)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584,667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805,709</w:t>
            </w:r>
          </w:p>
        </w:tc>
        <w:tc>
          <w:tcPr>
            <w:tcW w:w="0" w:type="dxa"/>
            <w:vAlign w:val="bottom"/>
          </w:tcPr>
          <w:p>
            <w:pPr>
              <w:spacing w:after="0"/>
              <w:rPr>
                <w:sz w:val="1"/>
                <w:szCs w:val="1"/>
                <w:color w:val="auto"/>
              </w:rPr>
            </w:pPr>
          </w:p>
        </w:tc>
      </w:tr>
      <w:tr>
        <w:trPr>
          <w:trHeight w:val="17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 from stock-based</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12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2,760</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254,567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5,685</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Withholdings from vesting of restricted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(2,846)</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316,479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11,864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11,864</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1,080</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161,227</w:t>
            </w:r>
          </w:p>
        </w:tc>
        <w:tc>
          <w:tcPr>
            <w:tcW w:w="0" w:type="dxa"/>
            <w:vAlign w:val="bottom"/>
          </w:tcPr>
          <w:p>
            <w:pPr>
              <w:spacing w:after="0"/>
              <w:rPr>
                <w:sz w:val="1"/>
                <w:szCs w:val="1"/>
                <w:color w:val="auto"/>
              </w:rPr>
            </w:pPr>
          </w:p>
        </w:tc>
      </w:tr>
      <w:tr>
        <w:trPr>
          <w:trHeight w:val="22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2012</w:t>
            </w:r>
          </w:p>
        </w:tc>
        <w:tc>
          <w:tcPr>
            <w:tcW w:w="1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59,126,639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591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250,276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(11,205)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745,817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985,479</w:t>
            </w:r>
          </w:p>
        </w:tc>
        <w:tc>
          <w:tcPr>
            <w:tcW w:w="0" w:type="dxa"/>
            <w:vAlign w:val="bottom"/>
          </w:tcPr>
          <w:p>
            <w:pPr>
              <w:spacing w:after="0"/>
              <w:rPr>
                <w:sz w:val="1"/>
                <w:szCs w:val="1"/>
                <w:color w:val="auto"/>
              </w:rPr>
            </w:pPr>
          </w:p>
        </w:tc>
      </w:tr>
      <w:tr>
        <w:trPr>
          <w:trHeight w:val="17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 from stock-based</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11,040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11,040</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669,834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12,912</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Withholdings from vesting of restricted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(84,766)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(5,052)</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240,899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15,572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15,572</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1,080</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(5,426,900)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(281,488)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(454,133)</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declared and paid</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(27,697)</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160,407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161,530</w:t>
            </w:r>
          </w:p>
        </w:tc>
        <w:tc>
          <w:tcPr>
            <w:tcW w:w="0" w:type="dxa"/>
            <w:vAlign w:val="bottom"/>
          </w:tcPr>
          <w:p>
            <w:pPr>
              <w:spacing w:after="0"/>
              <w:rPr>
                <w:sz w:val="1"/>
                <w:szCs w:val="1"/>
                <w:color w:val="auto"/>
              </w:rPr>
            </w:pPr>
          </w:p>
        </w:tc>
      </w:tr>
      <w:tr>
        <w:trPr>
          <w:trHeight w:val="224"/>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28, 2013</w:t>
            </w:r>
          </w:p>
        </w:tc>
        <w:tc>
          <w:tcPr>
            <w:tcW w:w="1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54,541,879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4,332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(10,082)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705,936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700,731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240"/>
          </w:cols>
          <w:pgMar w:left="840" w:top="340" w:right="8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THE COMPANY</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Carter’s, Inc. and its wholly owned subsidiaries (collectively, the “Company,” and “its") design, source, and market branded childrenswear under the </w:t>
      </w:r>
      <w:r>
        <w:rPr>
          <w:rFonts w:ascii="Times New Roman" w:cs="Times New Roman" w:eastAsia="Times New Roman" w:hAnsi="Times New Roman"/>
          <w:sz w:val="16"/>
          <w:szCs w:val="16"/>
          <w:i w:val="1"/>
          <w:iCs w:val="1"/>
          <w:color w:val="auto"/>
        </w:rPr>
        <w:t>Carter’s, 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 Precious Firsts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OshKosh</w:t>
      </w:r>
      <w:r>
        <w:rPr>
          <w:rFonts w:ascii="Times New Roman" w:cs="Times New Roman" w:eastAsia="Times New Roman" w:hAnsi="Times New Roman"/>
          <w:sz w:val="16"/>
          <w:szCs w:val="16"/>
          <w:color w:val="auto"/>
        </w:rPr>
        <w:t>, and other brands. The Company's products are sourced through contractual arrangements with manufacturers worldwide for wholesale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 to major domestic and international retailers and for the Company's own retail stores and websites that market its brand name merchandise and other licensed products manufactured by other companies. As of December 28, 2013, the Company operated 476 Carter’s domestic stores, 181 OshKosh domestic stores, and 102 Canadian stores.</w:t>
      </w:r>
    </w:p>
    <w:p>
      <w:pPr>
        <w:spacing w:after="0" w:line="163"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6"/>
          <w:szCs w:val="16"/>
          <w:color w:val="auto"/>
        </w:rPr>
        <w:t>In the first quarter of 2013, the Company assumed control of retail operations in Japan, previously managed by a licensee. In the fourth quarter of 2013, the Company decided to exit those operations based on revised forecasts which do not meet the Company's investment objectives.</w:t>
      </w:r>
    </w:p>
    <w:p>
      <w:pPr>
        <w:spacing w:after="0" w:line="14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 xml:space="preserve">On June 30, 2011, the Company purchased Bonnie Togs (the “Acquisition”), a Canadian specialty retailer focused exclusively on the children’s apparel and accessories marketplace. Bonnie Togs sells products under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as well as other brands. Prior to the Acquisition, Bonnie Togs was a significant international licensee of the Company. The Company's audited consolidated financial statements include Bonnie Togs, effective the date of the Acquisition.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PRINCIPLES OF CONSOLIDATION</w:t>
      </w:r>
    </w:p>
    <w:p>
      <w:pPr>
        <w:spacing w:after="0" w:line="208"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include the accounts of Carter's, Inc. and its wholly owned subsidiaries. All intercompany transactions and balances have been eliminated in consolidation.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RECLASSIFICATIONS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prior year amounts have been reclassified for comparative purposes.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20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Company's fiscal year ends on the Saturday, in December or January, nearest the last day of December, resulting in an additional week of results every five or six years. The accompanying audited consolidated financial statements reflect the Company's financial position as of December 28, 2013 and December 29, 2012 and results of operations for the fiscal years ended December 28, 2013 (also referred to as fiscal 2013), December 29, 2012 (fiscal 2012), and December 31, 2011 (fiscal 2011), each of which comprised 52 weeks.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 IN THE PREPARATION OF THE CONSOLIDATED FINANCIAL STATEMENTS</w:t>
      </w:r>
    </w:p>
    <w:p>
      <w:pPr>
        <w:spacing w:after="0" w:line="20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TRANSLATION AND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Translation adjustments</w:t>
      </w:r>
    </w:p>
    <w:p>
      <w:pPr>
        <w:spacing w:after="0" w:line="22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The functional currency of substantially all of the Company's foreign operations is the local currency.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audited consolidated balance sheet.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adjustments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420"/>
          </w:cols>
          <w:pgMar w:left="240" w:top="340" w:right="239" w:bottom="1440" w:gutter="0" w:footer="0" w:header="0"/>
        </w:sectPr>
      </w:pPr>
    </w:p>
    <w:bookmarkStart w:id="50" w:name="page51"/>
    <w:bookmarkEnd w:id="5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 also recognizes gains and losses on transactions that are denominated in a currency other than the respective entity's functional currency. Foreign currency transaction gains and losses include the mark-to-market adjustment related to open foreign currency exchange contracts, amounts realized on the settlement of foreign currency exchange contracts, and intercompany loans with foreign subsidiaries that are of a short-term investment nature. Foreign currency transaction gains and losses are recognized in earnings, as a separate component of other expense (income), net, within the audited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208"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16"/>
          <w:szCs w:val="16"/>
          <w:color w:val="auto"/>
        </w:rPr>
        <w:t>The Company considers all highly liquid investments that have original maturities of three months or less to be cash equivalents. Cash and cash equivalents consist of deposit accounts, U.S. Treasury securities, and cash management funds invested in U.S. government instruments. These investments are stated at cost, which approximates fair value.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ACCOUNTS RECEIVABLE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accounts receivable, net, as of December 28, 2013 and December 29, 2012 are as follows:</w:t>
      </w:r>
    </w:p>
    <w:p>
      <w:pPr>
        <w:spacing w:after="0" w:line="350"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5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159,586</w:t>
            </w:r>
          </w:p>
        </w:tc>
      </w:tr>
      <w:tr>
        <w:trPr>
          <w:trHeight w:val="21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11,020</w:t>
            </w:r>
          </w:p>
        </w:tc>
      </w:tr>
      <w:tr>
        <w:trPr>
          <w:trHeight w:val="25"/>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allowances and other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r>
      <w:tr>
        <w:trPr>
          <w:trHeight w:val="21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203,319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175,634</w:t>
            </w:r>
          </w:p>
        </w:tc>
      </w:tr>
      <w:tr>
        <w:trPr>
          <w:trHeight w:val="25"/>
        </w:trPr>
        <w:tc>
          <w:tcPr>
            <w:tcW w:w="5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1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w:t>
            </w:r>
          </w:p>
        </w:tc>
      </w:tr>
      <w:tr>
        <w:trPr>
          <w:trHeight w:val="25"/>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returns reserve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reserves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(7,588)</w:t>
            </w:r>
          </w:p>
        </w:tc>
      </w:tr>
      <w:tr>
        <w:trPr>
          <w:trHeight w:val="25"/>
        </w:trPr>
        <w:tc>
          <w:tcPr>
            <w:tcW w:w="5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168,046</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each of fiscal 2013, 2012, and 2011, no one customer accounted for 10% or more of the Company's consolidated net sales.</w:t>
      </w:r>
    </w:p>
    <w:p>
      <w:pPr>
        <w:spacing w:after="0" w:line="20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Approximately 75.2% of the Company's gross accounts receivable at December 28, 2013 and 78.2% at December 29, 2012 were from its ten largest wholesale customers. Of these customers, three had individual receivable balances in excess of 10% of gross accounts receivable at December 28, 2013, but none of these customers had receivable balances in excess of 13.6%. At December 29, 2012, four of the ten largest customers had individual receivable balances in excess of 10% of gross accounts receivable, but none of these customers had receivable balances in excess of 13.6%.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Allowance for doubtful accounts</w:t>
      </w:r>
    </w:p>
    <w:p>
      <w:pPr>
        <w:spacing w:after="0" w:line="2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Company maintains an allowance for doubtful accounts for estimated losses resulting from the inability of its customers to make payments and other actual and estimated deductions.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The Company also records reserves for potential returns based on historical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INVENTORIES</w:t>
      </w:r>
    </w:p>
    <w:p>
      <w:pPr>
        <w:spacing w:after="0" w:line="20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Inventories, which consist primarily of finished goods, are stated at the lower of cost (first-in, first-out basis for wholesale inventory and average cost for retail inventories) or market. The Company adjusts for slow-moving inventory equal to the difference between the cost of inventory and the estimated market value based upon assumptions about future demand and market conditions. The Company also adjusts its inventory to reflect estimated shrinkage based on historical trends.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PROPERTY, PLANT, AND EQUIPMENT</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and computer software from 3 to 7 years. Leasehold improvements and fixed assets purchased under capital leases, if any, are amortized over the lesser of the asset life or related lease term. The Company capitalizes the cost of its fixtures designed and purchased for use at major wholesale accounts. The cost of these fixtures is amortized over 3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OF GOODWILL AND OTHER INTANGIBILE ASSETS</w:t>
      </w:r>
    </w:p>
    <w:p>
      <w:pPr>
        <w:spacing w:after="0" w:line="20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 xml:space="preserve">The Company's goodwill balance is comprised of amounts related to the acquisition of Carter's, Inc., and Bonnie Togs. The goodwill balances have indefinite useful lives and are not deductible for tax purposes. The Company's other intangible assets are comprised of tradenames and non-compete agreements. The tradenames are related to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OshKosh, Bonnie Togs, Carter's Watch the Wear,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H.W. Carter &amp; Sons.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Carter's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OshKosh </w:t>
      </w:r>
      <w:r>
        <w:rPr>
          <w:rFonts w:ascii="Times New Roman" w:cs="Times New Roman" w:eastAsia="Times New Roman" w:hAnsi="Times New Roman"/>
          <w:sz w:val="16"/>
          <w:szCs w:val="16"/>
          <w:color w:val="auto"/>
        </w:rPr>
        <w:t>tradenames have indefinite useful lives. The</w:t>
      </w:r>
      <w:r>
        <w:rPr>
          <w:rFonts w:ascii="Times New Roman" w:cs="Times New Roman" w:eastAsia="Times New Roman" w:hAnsi="Times New Roman"/>
          <w:sz w:val="16"/>
          <w:szCs w:val="16"/>
          <w:i w:val="1"/>
          <w:iCs w:val="1"/>
          <w:color w:val="auto"/>
        </w:rPr>
        <w:t xml:space="preserve"> Carter's Watch the Wear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H.W. Carter &amp; Sons </w:t>
      </w:r>
      <w:r>
        <w:rPr>
          <w:rFonts w:ascii="Times New Roman" w:cs="Times New Roman" w:eastAsia="Times New Roman" w:hAnsi="Times New Roman"/>
          <w:sz w:val="16"/>
          <w:szCs w:val="16"/>
          <w:color w:val="auto"/>
        </w:rPr>
        <w:t>have definite lives and are being amortized on an accelerated basis over three years. The</w:t>
      </w:r>
      <w:r>
        <w:rPr>
          <w:rFonts w:ascii="Times New Roman" w:cs="Times New Roman" w:eastAsia="Times New Roman" w:hAnsi="Times New Roman"/>
          <w:sz w:val="16"/>
          <w:szCs w:val="16"/>
          <w:i w:val="1"/>
          <w:iCs w:val="1"/>
          <w:color w:val="auto"/>
        </w:rPr>
        <w:t xml:space="preserve"> Bonnie Togs </w:t>
      </w:r>
      <w:r>
        <w:rPr>
          <w:rFonts w:ascii="Times New Roman" w:cs="Times New Roman" w:eastAsia="Times New Roman" w:hAnsi="Times New Roman"/>
          <w:sz w:val="16"/>
          <w:szCs w:val="16"/>
          <w:color w:val="auto"/>
        </w:rPr>
        <w:t>non-compete agreements for certain executives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being amortized over four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Annual impairment reviews</w:t>
      </w:r>
    </w:p>
    <w:p>
      <w:pPr>
        <w:spacing w:after="0" w:line="20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future cash flows, discount rates, and, in the case of tradenames, royalty rates. Based upon the Company's most recent assessment, performed as of December 28, 2013, there was no impairment in the value of goodwill or indefinite-lived tradename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20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6"/>
          <w:szCs w:val="16"/>
          <w:color w:val="auto"/>
        </w:rPr>
        <w:t>The Company performs impairment tests of its goodwill at the reporting unit level. The Company may utilize a qualitative assessment to determine if it is "more likely than not" that the fair value of the reporting unit is less than its carrying value. If so, the two-step goodwill impairment test is required to be performed. If not, no further testing is required and the Company documents the relevant qualitative factors that support the strength in its fair value. Qualitative factors may include, but are not limited to: macroeconomic conditions, industry and market considerations, cost factors that may have a negative effect on earnings, overall financial performance, and other relevant entity-specific events.</w:t>
      </w:r>
    </w:p>
    <w:p>
      <w:pPr>
        <w:spacing w:after="0" w:line="16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first step of a quantitative assessment, where one is deemed necessary,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Indefinite-lived Tradenames</w:t>
      </w:r>
    </w:p>
    <w:p>
      <w:pPr>
        <w:spacing w:after="0" w:line="20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 from royalty method. If the carrying amount exceeds the fair value, an impairment charge is recognized in the amount of the excess.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OF OTHER LONG-LIVED ASSETS</w:t>
      </w:r>
    </w:p>
    <w:p>
      <w:pPr>
        <w:spacing w:after="0" w:line="208" w:lineRule="exact"/>
        <w:rPr>
          <w:sz w:val="20"/>
          <w:szCs w:val="20"/>
          <w:color w:val="auto"/>
        </w:rPr>
      </w:pPr>
    </w:p>
    <w:p>
      <w:pPr>
        <w:ind w:right="920"/>
        <w:spacing w:after="0" w:line="288" w:lineRule="auto"/>
        <w:rPr>
          <w:sz w:val="20"/>
          <w:szCs w:val="20"/>
          <w:color w:val="auto"/>
        </w:rPr>
      </w:pPr>
      <w:r>
        <w:rPr>
          <w:rFonts w:ascii="Times New Roman" w:cs="Times New Roman" w:eastAsia="Times New Roman" w:hAnsi="Times New Roman"/>
          <w:sz w:val="16"/>
          <w:szCs w:val="16"/>
          <w:color w:val="auto"/>
        </w:rPr>
        <w:t>The Company reviews other long-lived assets, including property, plant, and equipment, and licensing agreements, for impairment whenever events or changes in circumstances indicate that the carrying amount of such an asset may not be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DEBT ISSUANCE COSTS</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Debt issuance costs associated with the Company's secured revolving credit facility and senior notes are deferred and amortized to interest expense over the term of the related debt using the effective interest method.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MEASUREMENTS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framework requires the Company to categorize certain assets and liabilities into three levels, based upon the assumptions used to price those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levels are defined as follows:</w:t>
      </w:r>
    </w:p>
    <w:p>
      <w:pPr>
        <w:spacing w:after="0" w:line="13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w:t>
      </w:r>
    </w:p>
    <w:p>
      <w:pPr>
        <w:spacing w:after="0" w:line="6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color w:val="auto"/>
        </w:rPr>
        <w:t>Quoted prices for similar assets and liabilities in active markets or inputs that are observable.</w:t>
      </w:r>
    </w:p>
    <w:p>
      <w:pPr>
        <w:spacing w:after="0" w:line="6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6"/>
          <w:szCs w:val="16"/>
          <w:color w:val="auto"/>
        </w:rPr>
        <w:t>Unobservable inputs reflecting management's own assumptions about the inputs used in pricing the asset or liability.</w:t>
      </w:r>
    </w:p>
    <w:p>
      <w:pPr>
        <w:spacing w:after="0" w:line="3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The Company measures its contingent consideration liability, pension assets, foreign exchange forward contracts, and deferred compensation plan investment assets at fair value, as disclosed in the accompanying notes to the consolidated financial statements. The Company's cash and cash equivalents, accounts receivable, and accounts payable are short-term in nature. As such, their carrying value approximates fair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Company’s total outstanding borrowings would have been disclosed as a Level 2 liability in the fair value hierarchy, had they been measured at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are disclosed in the accompanying notes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 INSTRUMENTS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Company is exposed to market risk resulting from changes in foreign currency rates and interest rates, and as a result, enters into derivative instruments for risk management purposes or to satisfy requirements under previous contractual arrangements. The Company does not use derivative instruments for trading or other speculative purposes.</w:t>
      </w:r>
    </w:p>
    <w:p>
      <w:pPr>
        <w:spacing w:after="0" w:line="34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When the Company enters into derivative instruments such instruments are recorded on the balance sheet at fair value. The accounting for changes in the fair value of derivative instruments is dependent upon whether the derivative has been designated as part of a hedging relationship and, further, is dependent upon the nature of the hedging relationship. The Company's foreign exchange contracts were not accounted for as hedges and therefore, any changes in the fair value of these contracts were recorded in foreign currency gain (loss) in the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20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Revenues consist of sales to customers, net of returns, accommodations, allowances, deductions, and cooperative advertising. The Company considers revenue realized or realizable and earned when the product has been shipped, when title passes, when all risks and rewards of ownership have transferred, the sales price is fixed or determinable, and collectibility is reasonably assured. In certain cases, in which the Company retains the risk of loss during shipment, revenue recognition does not occur until the goods have reached the specified customer.</w:t>
      </w:r>
    </w:p>
    <w:p>
      <w:pPr>
        <w:spacing w:after="0" w:line="16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In the normal course of business, the Company grants certain accommodations and allowances to its wholesale customers in order to assist these customers with inventory clearance and promotions. Such amounts are reflected as a reduction of net sales and are recorded based on agreements with customers, historical trends, and annual forecasts.</w:t>
      </w:r>
    </w:p>
    <w:p>
      <w:pPr>
        <w:spacing w:after="0" w:line="143"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6"/>
          <w:szCs w:val="16"/>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$3.9 million, $4.6 million, and $3.6 million for fiscal 2013, 2012, and 2011, respectively, as a component of selling, general, and administrative expenses on the accompanying audited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440"/>
          </w:cols>
          <w:pgMar w:left="240" w:top="121" w:right="219" w:bottom="1440" w:gutter="0" w:footer="0" w:header="0"/>
        </w:sectPr>
      </w:pPr>
    </w:p>
    <w:bookmarkStart w:id="53" w:name="page54"/>
    <w:bookmarkEnd w:id="5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6"/>
          <w:szCs w:val="16"/>
          <w:color w:val="auto"/>
        </w:rPr>
        <w:t>consolidated statements of operations, rather than as a reduction of revenue. Amounts determined to be in excess of the fair value of these arrangements are recorded as a reduction of net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store revenues are recognized at the point of sale. The Company reduces revenue for estimated customer returns and deductions.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SHIPPING AND HANDLING FEES AND COSTS</w:t>
      </w:r>
    </w:p>
    <w:p>
      <w:pPr>
        <w:spacing w:after="0" w:line="20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Shipping and handling costs include related labor costs, third-party shipping costs, shipping supplies, and certain distribution overhead. Such costs are absorbed by the Company and are included in selling, general, and administrative expenses. These costs amounted to approximately $59.1 million, $52.2 million, and $46.6 million for fiscal 2013, 2012, and 2011, respectively.</w:t>
      </w:r>
    </w:p>
    <w:p>
      <w:pPr>
        <w:spacing w:after="0" w:line="15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With respect to the freight component of the Company's shipping and handling costs, certain customers arrange for shipping and pay the related freight costs directly to third parties. However, in the event that the Company arranges and pays the freight for these customers and bills them for this service, such amounts billed are included in revenue and the related cost is charged to cost of goods sold. In addition, shipping and handling costs billed to the Company's eCommerce customers are included in revenue and the related cost is charged to cost of goods sold. The Company billed customers approximately $12.1 million, $9.3 million, and $5.3 million for fiscal years 2013, 2012, and 2011,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ROYALTIES AND LICENSE FEES</w:t>
      </w:r>
    </w:p>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 xml:space="preserve">The Company licenses the </w:t>
      </w:r>
      <w:r>
        <w:rPr>
          <w:rFonts w:ascii="Times New Roman" w:cs="Times New Roman" w:eastAsia="Times New Roman" w:hAnsi="Times New Roman"/>
          <w:sz w:val="16"/>
          <w:szCs w:val="16"/>
          <w:i w:val="1"/>
          <w:iCs w:val="1"/>
          <w:color w:val="auto"/>
        </w:rPr>
        <w:t>Carter's, Just One You, Precious Firsts, Child of Mine, OshKosh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trademarks to other companies for use on baby and young children's products, including bedding, outerwear, sleepwear, shoes, underwear, socks, room décor, toys, stationery, hair accessories, furniture, gear, and related products. These royalties are recorded as earned, based upon the sales of licensed products by licensees and reported as royalty income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ARRANGEMENTS</w:t>
      </w:r>
    </w:p>
    <w:p>
      <w:pPr>
        <w:spacing w:after="0" w:line="20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The Company recognizes the cost resulting from all stock-based payment transactions in the financial statements at grant date fair value. Stock-based compensation expense is recognized over the requisite service period, net of estimated forfeitures.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determines the fair value of stock options using the Black-Scholes option pricing model, which requires the use of the following subjective assumptions:</w:t>
      </w:r>
    </w:p>
    <w:p>
      <w:pPr>
        <w:spacing w:after="0" w:line="204" w:lineRule="exact"/>
        <w:rPr>
          <w:sz w:val="20"/>
          <w:szCs w:val="20"/>
          <w:color w:val="auto"/>
        </w:rPr>
      </w:pPr>
    </w:p>
    <w:p>
      <w:pPr>
        <w:ind w:left="58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Volatility </w:t>
      </w:r>
      <w:r>
        <w:rPr>
          <w:rFonts w:ascii="Times New Roman" w:cs="Times New Roman" w:eastAsia="Times New Roman" w:hAnsi="Times New Roman"/>
          <w:sz w:val="16"/>
          <w:szCs w:val="16"/>
          <w:color w:val="auto"/>
        </w:rPr>
        <w:t>- This is a measure of the amount by which a stock price has fluctuated or is expected to fluctuate. The Company uses actual monthly historical changes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market value of its stock covering the expected life of options being valued. An increase in the expected volatility will increase stock-based compensation expense.</w:t>
      </w:r>
    </w:p>
    <w:p>
      <w:pPr>
        <w:spacing w:after="0" w:line="138" w:lineRule="exact"/>
        <w:rPr>
          <w:sz w:val="20"/>
          <w:szCs w:val="20"/>
          <w:color w:val="auto"/>
        </w:rPr>
      </w:pPr>
    </w:p>
    <w:p>
      <w:pPr>
        <w:ind w:left="580" w:right="34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 This is the U.S. Treasury rate as of the grant date having a term equal to the expected term of the stock option. An increase in the risk-free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rate will increase stock-based compensation expense.</w:t>
      </w:r>
    </w:p>
    <w:p>
      <w:pPr>
        <w:spacing w:after="0" w:line="138" w:lineRule="exact"/>
        <w:rPr>
          <w:sz w:val="20"/>
          <w:szCs w:val="20"/>
          <w:color w:val="auto"/>
        </w:rPr>
      </w:pPr>
    </w:p>
    <w:p>
      <w:pPr>
        <w:jc w:val="both"/>
        <w:ind w:left="580" w:right="20"/>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This is the period of time over which the stock options granted are expected to remain outstanding and is based on historical experience and estimated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future exercise behavior. Separate groups of employees that have similar historical exercise behavior are considered separately for valuation purposes. An increase in the expected term will increase stock-based compensation expense.</w:t>
      </w:r>
    </w:p>
    <w:p>
      <w:pPr>
        <w:spacing w:after="0" w:line="154" w:lineRule="exact"/>
        <w:rPr>
          <w:sz w:val="20"/>
          <w:szCs w:val="20"/>
          <w:color w:val="auto"/>
        </w:rPr>
      </w:pPr>
    </w:p>
    <w:p>
      <w:pPr>
        <w:ind w:left="580" w:right="6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Dividend yield </w:t>
      </w:r>
      <w:r>
        <w:rPr>
          <w:rFonts w:ascii="Times New Roman" w:cs="Times New Roman" w:eastAsia="Times New Roman" w:hAnsi="Times New Roman"/>
          <w:sz w:val="16"/>
          <w:szCs w:val="16"/>
          <w:color w:val="auto"/>
        </w:rPr>
        <w:t>- The Company estimates a dividend yield based on the current dividend amount as a percentage of the current stock price. An increase in the dividend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yield will decrease stock-based compensation expense.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Forfeitures </w:t>
      </w:r>
      <w:r>
        <w:rPr>
          <w:rFonts w:ascii="Times New Roman" w:cs="Times New Roman" w:eastAsia="Times New Roman" w:hAnsi="Times New Roman"/>
          <w:sz w:val="16"/>
          <w:szCs w:val="16"/>
          <w:color w:val="auto"/>
        </w:rPr>
        <w:t>- The Company estimates forfeitures of stock-based awards based on historical experience and expected future activity.</w:t>
      </w:r>
    </w:p>
    <w:p>
      <w:pPr>
        <w:spacing w:after="0" w:line="20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Changes in these subjective assumptions can materially affect the estimate of fair value of stock-based compensation expense and the related amount recognized in the audited consolidated statements of operations.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Time-Based Restricted Stock Awards</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Performance-Based Restricted Stock Awards</w:t>
      </w:r>
    </w:p>
    <w:p>
      <w:pPr>
        <w:spacing w:after="0" w:line="20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The Company reassesses the probability of vesting at each reporting period and adjusts stock-based compensation expense based on its probability assessment.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Awards</w:t>
      </w:r>
    </w:p>
    <w:p>
      <w:pPr>
        <w:spacing w:after="0" w:line="20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6"/>
          <w:szCs w:val="16"/>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reflect current and deferred tax provisions. The deferred tax provision is determined under the liability method. Deferred tax assets and liabilities are recognized based on differences between the book and tax bases of assets and liabilities using presently enacted tax rates.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The Company assesses its income tax positions and records tax benefits for all years subject to examination based upon management's evaluation of the facts, circumstances, and information available at the reporting dates.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Interest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SUPPLEMENTAL CASH FLOW INFORMATION</w:t>
      </w:r>
    </w:p>
    <w:p>
      <w:pPr>
        <w:spacing w:after="0" w:line="208"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6"/>
          <w:szCs w:val="16"/>
          <w:color w:val="auto"/>
        </w:rPr>
        <w:t>Interest paid in cash approximated $3.8 million, $6.0 million, and $7.0 million for fiscal years 2013, 2012, and 2011, respectively. Income taxes paid in cash approximated $83.3 million, $97.4 million, and $61.6 million for the fiscal years 2013, 2012, and 2011,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20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6"/>
          <w:szCs w:val="16"/>
          <w:color w:val="auto"/>
        </w:rPr>
        <w:t>The Company calculates basic and diluted net income per common share under the two-class method for unvested share-based payment awards that contain non-forfeitable rights to dividends or dividend equivalents (whether paid or unpaid).</w:t>
      </w:r>
    </w:p>
    <w:p>
      <w:pPr>
        <w:spacing w:after="0" w:line="1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BENEFIT PLANS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The gains or losses that arise during the period are recognized as a component of comprehensive income, net of tax. These costs are then subsequently recognized as components of net periodic benefit cost in the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FACILITY CLOSURE AND OFFICE CONSOLIDATION</w:t>
      </w:r>
    </w:p>
    <w:p>
      <w:pPr>
        <w:spacing w:after="0" w:line="20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and adjusted for the effects of deferred items recognized under the lease and reduced by estimated sub-lease rental income. Useful lives assigned to fixed assets at the facility to be closed are revised based on the specifics of the exit plan, resulting in accelerated depreciation expense.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RENT EXPENSE AND DEFERRED RENT</w:t>
      </w:r>
    </w:p>
    <w:p>
      <w:pPr>
        <w:spacing w:after="0" w:line="208"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6"/>
          <w:szCs w:val="16"/>
          <w:color w:val="auto"/>
        </w:rPr>
        <w:t>The Company enters into a significant number of lease transactions related to properties for its retail stores in addition to leases for offices, distribution facilities, and other uses. The lease agreements may contain provisions related to allowances for property improvements, rent escalation, and free rent periods.</w:t>
      </w:r>
    </w:p>
    <w:p>
      <w:pPr>
        <w:spacing w:after="0" w:line="14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For property improvement allowances, the Company records a deferred lease credit on the consolidated balance sheet and amortizes the deferred lease credit as a reduction of rent expense over the terms of the applicable lease. For scheduled rent escalation clauses during the lease term, the Company records rent expense on a straight-line basis over the term of the lease. The difference between the rent expense and the amount payable under the lease is included within the Company's liabilities on the consolidated balance sheet. The term of the lease over which the Company amortizes allowances and minimum rental expenses on a straight-line basis begins on the date of initial possession, which is generally when the Company enters the space and/or begins construction.</w:t>
      </w:r>
    </w:p>
    <w:p>
      <w:pPr>
        <w:spacing w:after="0" w:line="23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Where leases provide for contingent rents, which are generally determined as a percentage of gross sales, the Company records additional rent expense when management determines that achieving the specified level of revenue during the fiscal year is probable. Amounts accrued for contingent rent are included within the Company's liabilities on the consolidated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20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2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In February 2013, the Financial Accounting Standards Board issued guidance finalizing the reporting of amounts reclassified out of accumulated other comprehensive income. The new standard requires disclosure, either in a single note or parenthetically on the face of the financial statements, the effect of significant amounts reclassified from each component of accumulated other comprehensive income based on its source and the income statement line items affected by the reclassification. The guidance was effective for annual reporting periods and interim periods within those years, beginning after December 15, 2012. In the first fiscal quarter of 2013, the Company adopted the guidance and determined that there were no significant amounts reclassified in the period that would require enhanced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 OF BONNIE TOGS</w:t>
      </w:r>
    </w:p>
    <w:p>
      <w:pPr>
        <w:spacing w:after="0" w:line="20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On June 30, 2011, the Company purchased all of the outstanding shares of capital stock of Bonnie Togs for total consideration of up to CAD $95 million, of which USD $61.2 million was paid in cash at closing. In accordance with the agreement, the sellers may be paid additional contingent consideration ranging from zero to CAD $35 million, if certain earnings targets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the period beginning July 1, 2011 and ending on June 27, 2015 are met. Sellers were entitled to receive a portion of the contingent consideration of up to CAD $25 million if interim earnings targets are met through June 2013 and June 2014, respectively. During fiscal 2013, the Company made a payment of approximately $14.7 million related to the contingent consideration liability based on the achievement of interim earnings targets through June 2013. Sellers may receive the remaining portion of CAD $25 million in 2014 if certain interim earnings targets are met through June 2014. None of the interim payments are recoverable by the Company in the event of any failure to meet overall targets.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0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6"/>
          <w:szCs w:val="16"/>
          <w:color w:val="auto"/>
        </w:rPr>
        <w:t>The Company determines the fair value of contingent consideration based upon a probability-weighted discounted cash flow analysis, reflecting a high probability that the earnings targets will be met. As of December 28, 2013, approximately $9.0 million of the contingent consideration liability is included in other current liabilities and the remainder is included in other long-term liabilities, on the accompanying audited consolidated balance sheet.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9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the changes in the contingent consideration liability (dollars in thousands):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22"/>
        </w:trPr>
        <w:tc>
          <w:tcPr>
            <w:tcW w:w="9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2, 2011</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24,346</w:t>
            </w:r>
          </w:p>
        </w:tc>
      </w:tr>
      <w:tr>
        <w:trPr>
          <w:trHeight w:val="218"/>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2,484</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11"/>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2011</w:t>
            </w:r>
          </w:p>
        </w:tc>
        <w:tc>
          <w:tcPr>
            <w:tcW w:w="5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25,566</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3,589</w:t>
            </w:r>
          </w:p>
        </w:tc>
      </w:tr>
      <w:tr>
        <w:trPr>
          <w:trHeight w:val="218"/>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w:t>
            </w:r>
          </w:p>
        </w:tc>
      </w:tr>
      <w:tr>
        <w:trPr>
          <w:trHeight w:val="25"/>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2012</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29,704</w:t>
            </w:r>
          </w:p>
        </w:tc>
      </w:tr>
      <w:tr>
        <w:trPr>
          <w:trHeight w:val="218"/>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made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(14,721)</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2,825</w:t>
            </w:r>
          </w:p>
        </w:tc>
      </w:tr>
      <w:tr>
        <w:trPr>
          <w:trHeight w:val="218"/>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r>
      <w:tr>
        <w:trPr>
          <w:trHeight w:val="25"/>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2013</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16,348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 FORMA RESULTS</w:t>
      </w:r>
    </w:p>
    <w:p>
      <w:pPr>
        <w:spacing w:after="0" w:line="20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The following unaudited pro forma summary presents information as if Bonnie Togs had been acquired at the beginning of the periods presented and assumes that there were no other changes in the Company's operations. The pro forma information does not necessarily reflect the actual results that would have occurred had the Company been combined during the periods presented, nor is it necessarily indicative of the future results of operations of the combined companies.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For the fiscal year ended</w:t>
            </w:r>
          </w:p>
        </w:tc>
      </w:tr>
      <w:tr>
        <w:trPr>
          <w:trHeight w:val="25"/>
        </w:trPr>
        <w:tc>
          <w:tcPr>
            <w:tcW w:w="8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1"/>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data)</w:t>
            </w:r>
          </w:p>
        </w:tc>
        <w:tc>
          <w:tcPr>
            <w:tcW w:w="440" w:type="dxa"/>
            <w:vAlign w:val="bottom"/>
          </w:tcPr>
          <w:p>
            <w:pPr>
              <w:spacing w:after="0"/>
              <w:rPr>
                <w:sz w:val="18"/>
                <w:szCs w:val="18"/>
                <w:color w:val="auto"/>
              </w:rPr>
            </w:pPr>
          </w:p>
        </w:tc>
        <w:tc>
          <w:tcPr>
            <w:tcW w:w="2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2011</w:t>
            </w:r>
          </w:p>
        </w:tc>
      </w:tr>
      <w:tr>
        <w:trPr>
          <w:trHeight w:val="25"/>
        </w:trPr>
        <w:tc>
          <w:tcPr>
            <w:tcW w:w="8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1"/>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net sales</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2,156,000</w:t>
            </w:r>
          </w:p>
        </w:tc>
      </w:tr>
      <w:tr>
        <w:trPr>
          <w:trHeight w:val="25"/>
        </w:trPr>
        <w:tc>
          <w:tcPr>
            <w:tcW w:w="8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net income</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121,000</w:t>
            </w:r>
          </w:p>
        </w:tc>
      </w:tr>
      <w:tr>
        <w:trPr>
          <w:trHeight w:val="218"/>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basic earnings per share</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r>
      <w:tr>
        <w:trPr>
          <w:trHeight w:val="25"/>
        </w:trPr>
        <w:tc>
          <w:tcPr>
            <w:tcW w:w="8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18"/>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diluted earnings per share</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r>
      <w:tr>
        <w:trPr>
          <w:trHeight w:val="25"/>
        </w:trPr>
        <w:tc>
          <w:tcPr>
            <w:tcW w:w="8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7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6"/>
          <w:szCs w:val="16"/>
          <w:color w:val="auto"/>
        </w:rPr>
        <w:t>Excluded from the pro forma results shown above for the fiscal year ended December 31, 2011, was a pre-tax charge of $6.7 million related to the amortization of the step-up of acquired Bonnie Togs inventory to fair value.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PROPERTY, PLANT, AND EQUIPMENT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 consists of the following: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440"/>
          </w:cols>
          <w:pgMar w:left="240" w:top="121" w:right="219" w:bottom="1440" w:gutter="0" w:footer="0" w:header="0"/>
        </w:sectPr>
      </w:pPr>
    </w:p>
    <w:bookmarkStart w:id="57" w:name="page58"/>
    <w:bookmarkEnd w:id="57"/>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7260" w:type="dxa"/>
            <w:vAlign w:val="bottom"/>
            <w:gridSpan w:val="4"/>
          </w:tcPr>
          <w:p>
            <w:pPr>
              <w:ind w:left="186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719"/>
        </w:trPr>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24"/>
                <w:szCs w:val="24"/>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4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25"/>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Fixtures, equipment, and computers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194,073</w:t>
            </w: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buildings, and improvements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132,089</w:t>
            </w:r>
          </w:p>
        </w:tc>
      </w:tr>
      <w:tr>
        <w:trPr>
          <w:trHeight w:val="25"/>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fixtures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13,399</w:t>
            </w: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17,806</w:t>
            </w:r>
          </w:p>
        </w:tc>
      </w:tr>
      <w:tr>
        <w:trPr>
          <w:trHeight w:val="25"/>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5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357,367</w:t>
            </w: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(187,257)</w:t>
            </w:r>
          </w:p>
        </w:tc>
      </w:tr>
      <w:tr>
        <w:trPr>
          <w:trHeight w:val="25"/>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170,110</w:t>
            </w: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Depreciation and amortization expense was approximately $54.7 million, $39.5 million, and $32.5 million for the fiscal years ended December 28, 2013, December 29, 2012, and December 31, 2011,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GOODWILL AND OTHER INTANGIBLE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Tradenames</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 xml:space="preserve">On June 13, 2013, the Company acquired worldwide rights to the </w:t>
      </w:r>
      <w:r>
        <w:rPr>
          <w:rFonts w:ascii="Times New Roman" w:cs="Times New Roman" w:eastAsia="Times New Roman" w:hAnsi="Times New Roman"/>
          <w:sz w:val="16"/>
          <w:szCs w:val="16"/>
          <w:i w:val="1"/>
          <w:iCs w:val="1"/>
          <w:color w:val="auto"/>
        </w:rPr>
        <w:t>Carter's Watch the Wear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H.W. Carter &amp; Sons</w:t>
      </w:r>
      <w:r>
        <w:rPr>
          <w:rFonts w:ascii="Times New Roman" w:cs="Times New Roman" w:eastAsia="Times New Roman" w:hAnsi="Times New Roman"/>
          <w:sz w:val="16"/>
          <w:szCs w:val="16"/>
          <w:color w:val="auto"/>
        </w:rPr>
        <w:t xml:space="preserve"> brands, including trademark registrations. The Company acquired these worldwide rights for defensive purposes to reduce brand confusion and facilitate expansion in certain key international markets. The total consideration paid was approximately $38.0 million in cash and was accounted for as an asset acquisition. These tradenames are being amortized over three years, using an accelerated amortization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Balance Sheet Components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goodwill and other intangible assets were as follows:</w:t>
      </w:r>
    </w:p>
    <w:p>
      <w:pPr>
        <w:spacing w:after="0" w:line="149" w:lineRule="exact"/>
        <w:rPr>
          <w:sz w:val="20"/>
          <w:szCs w:val="20"/>
          <w:color w:val="auto"/>
        </w:rPr>
      </w:pPr>
    </w:p>
    <w:tbl>
      <w:tblPr>
        <w:tblLayout w:type="fixed"/>
        <w:tblInd w:w="1540" w:type="dxa"/>
        <w:tblCellMar>
          <w:top w:w="0" w:type="dxa"/>
          <w:left w:w="0" w:type="dxa"/>
          <w:bottom w:w="0" w:type="dxa"/>
          <w:right w:w="0" w:type="dxa"/>
        </w:tblCellMar>
      </w:tblPr>
      <w:tr>
        <w:trPr>
          <w:trHeight w:val="409"/>
        </w:trPr>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December 28, 2013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w w:val="94"/>
              </w:rPr>
              <w:t>December 29, 2012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Weighted-</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average useful</w:t>
            </w:r>
          </w:p>
        </w:tc>
        <w:tc>
          <w:tcPr>
            <w:tcW w:w="120" w:type="dxa"/>
            <w:vAlign w:val="bottom"/>
          </w:tcPr>
          <w:p>
            <w:pPr>
              <w:spacing w:after="0"/>
              <w:rPr>
                <w:sz w:val="15"/>
                <w:szCs w:val="15"/>
                <w:color w:val="auto"/>
              </w:rPr>
            </w:pPr>
          </w:p>
        </w:tc>
        <w:tc>
          <w:tcPr>
            <w:tcW w:w="64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Accumulated</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64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192"/>
        </w:trPr>
        <w:tc>
          <w:tcPr>
            <w:tcW w:w="1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life</w:t>
            </w: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amortization</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0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amount</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xml:space="preserve">Carter’s goodwill </w:t>
            </w:r>
            <w:r>
              <w:rPr>
                <w:rFonts w:ascii="Times New Roman" w:cs="Times New Roman" w:eastAsia="Times New Roman" w:hAnsi="Times New Roman"/>
                <w:sz w:val="12"/>
                <w:szCs w:val="12"/>
                <w:color w:val="auto"/>
              </w:rPr>
              <w:t>(1)</w:t>
            </w: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0" w:type="dxa"/>
            <w:vAlign w:val="bottom"/>
          </w:tcPr>
          <w:p>
            <w:pPr>
              <w:spacing w:after="0"/>
              <w:rPr>
                <w:sz w:val="1"/>
                <w:szCs w:val="1"/>
                <w:color w:val="auto"/>
              </w:rPr>
            </w:pPr>
          </w:p>
        </w:tc>
      </w:tr>
      <w:tr>
        <w:trPr>
          <w:trHeight w:val="202"/>
        </w:trPr>
        <w:tc>
          <w:tcPr>
            <w:tcW w:w="1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Bonnie Togs goodwill</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w w:val="95"/>
              </w:rPr>
              <w:t>Indefinite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49,507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49,507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53,179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53,179</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1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Total goodwill</w:t>
            </w: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186,077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186,077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189,749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189,749</w:t>
            </w: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 xml:space="preserve">Carter’s </w:t>
            </w:r>
            <w:r>
              <w:rPr>
                <w:rFonts w:ascii="Times New Roman" w:cs="Times New Roman" w:eastAsia="Times New Roman" w:hAnsi="Times New Roman"/>
                <w:sz w:val="15"/>
                <w:szCs w:val="15"/>
                <w:color w:val="auto"/>
              </w:rPr>
              <w:t>tradename</w:t>
            </w: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220,233</w:t>
            </w:r>
          </w:p>
        </w:tc>
        <w:tc>
          <w:tcPr>
            <w:tcW w:w="0" w:type="dxa"/>
            <w:vAlign w:val="bottom"/>
          </w:tcPr>
          <w:p>
            <w:pPr>
              <w:spacing w:after="0"/>
              <w:rPr>
                <w:sz w:val="1"/>
                <w:szCs w:val="1"/>
                <w:color w:val="auto"/>
              </w:rPr>
            </w:pPr>
          </w:p>
        </w:tc>
      </w:tr>
      <w:tr>
        <w:trPr>
          <w:trHeight w:val="214"/>
        </w:trPr>
        <w:tc>
          <w:tcPr>
            <w:tcW w:w="1580" w:type="dxa"/>
            <w:vAlign w:val="bottom"/>
          </w:tcPr>
          <w:p>
            <w:pPr>
              <w:ind w:left="60"/>
              <w:spacing w:after="0"/>
              <w:rPr>
                <w:sz w:val="20"/>
                <w:szCs w:val="20"/>
                <w:color w:val="auto"/>
              </w:rPr>
            </w:pPr>
            <w:r>
              <w:rPr>
                <w:rFonts w:ascii="Times New Roman" w:cs="Times New Roman" w:eastAsia="Times New Roman" w:hAnsi="Times New Roman"/>
                <w:sz w:val="15"/>
                <w:szCs w:val="15"/>
                <w:i w:val="1"/>
                <w:iCs w:val="1"/>
                <w:color w:val="auto"/>
              </w:rPr>
              <w:t xml:space="preserve">OshKosh </w:t>
            </w:r>
            <w:r>
              <w:rPr>
                <w:rFonts w:ascii="Times New Roman" w:cs="Times New Roman" w:eastAsia="Times New Roman" w:hAnsi="Times New Roman"/>
                <w:sz w:val="15"/>
                <w:szCs w:val="15"/>
                <w:color w:val="auto"/>
              </w:rPr>
              <w:t>tradename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Indefinite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tradenames (3)</w:t>
            </w: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3"/>
              </w:rPr>
              <w:t>3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38,007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13,588</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24,419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xml:space="preserve">Bonnie Togs </w:t>
            </w:r>
            <w:r>
              <w:rPr>
                <w:rFonts w:ascii="Times New Roman" w:cs="Times New Roman" w:eastAsia="Times New Roman" w:hAnsi="Times New Roman"/>
                <w:sz w:val="15"/>
                <w:szCs w:val="15"/>
                <w:color w:val="auto"/>
              </w:rPr>
              <w:t>tradename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3"/>
              </w:rPr>
              <w:t>2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29"/>
        </w:trPr>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tradenames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344,302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14,150</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330,152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306,337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305,884</w:t>
            </w: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Non-compete agreements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3"/>
              </w:rPr>
              <w:t>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9"/>
        </w:trPr>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tradenames and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intangibles, net</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344,582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330,258</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306,072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580" w:right="60" w:hanging="290"/>
        <w:spacing w:after="0" w:line="26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$45.9 million of which relates to the Carter’s wholesale segment, $82.0 million of which relates to the Carter’s retail segment, and $8.6 million of which relates to the international segment.</w:t>
      </w:r>
    </w:p>
    <w:p>
      <w:pPr>
        <w:ind w:left="880" w:right="220" w:hanging="590"/>
        <w:spacing w:after="0" w:line="254" w:lineRule="auto"/>
        <w:tabs>
          <w:tab w:leader="none" w:pos="58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international segment. The change in the gross amount of goodwill and other intangible assets reflect foreign currency translation adjustments for the applicable periods.</w:t>
      </w:r>
    </w:p>
    <w:p>
      <w:pPr>
        <w:ind w:left="580" w:hanging="290"/>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Relates to the acquisition of worldwide rights to the </w:t>
      </w:r>
      <w:r>
        <w:rPr>
          <w:rFonts w:ascii="Times New Roman" w:cs="Times New Roman" w:eastAsia="Times New Roman" w:hAnsi="Times New Roman"/>
          <w:sz w:val="16"/>
          <w:szCs w:val="16"/>
          <w:i w:val="1"/>
          <w:iCs w:val="1"/>
          <w:color w:val="auto"/>
        </w:rPr>
        <w:t>Carter's Watch the Wear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H.W. Carter &amp; Sons</w:t>
      </w:r>
      <w:r>
        <w:rPr>
          <w:rFonts w:ascii="Times New Roman" w:cs="Times New Roman" w:eastAsia="Times New Roman" w:hAnsi="Times New Roman"/>
          <w:sz w:val="16"/>
          <w:szCs w:val="16"/>
          <w:color w:val="auto"/>
        </w:rPr>
        <w:t xml:space="preserve"> brands in June 2013.</w:t>
      </w:r>
    </w:p>
    <w:p>
      <w:pPr>
        <w:spacing w:after="0" w:line="190"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6"/>
          <w:szCs w:val="16"/>
          <w:color w:val="auto"/>
        </w:rPr>
        <w:t>Amortization expense for intangible assets subject to amortization was approximately $13.8 million, $0.4 million, and $0.2 million for the fiscal years ended December 28, 2013, December 29, 2012, and December 31, 2011, respectively. The estimated future amortization expense is approximately $16.4 million for fiscal 2014, $6.2 million for fiscal 2015, and $1.8 million for fiscal 2016.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ACCUMULATED OTHER COMPREHENSIVE (LOSS) INCOME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other comprehensive (loss) income is summarized as follows:</w:t>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4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liability</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liability adjustment</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5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2011</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1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 change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0" w:type="dxa"/>
            <w:vAlign w:val="bottom"/>
          </w:tcPr>
          <w:p>
            <w:pPr>
              <w:spacing w:after="0"/>
              <w:rPr>
                <w:sz w:val="1"/>
                <w:szCs w:val="1"/>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2011</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 change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2012</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 change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6"/>
          <w:szCs w:val="16"/>
          <w:color w:val="auto"/>
        </w:rPr>
        <w:t>As of December 28, 2013 and December 29, 2012, the cumulative pension liability adjustments are net of tax effect of $2.4 million and $6.0 million, respectively. As of December 28, 2013 and December 29, 2012, the post-retirement liability adjustments are net of tax effect of approximately $0.9 million and $0.7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LONG-TERM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consisted of the following:</w:t>
      </w:r>
    </w:p>
    <w:p>
      <w:pPr>
        <w:spacing w:after="0" w:line="155" w:lineRule="exact"/>
        <w:rPr>
          <w:sz w:val="20"/>
          <w:szCs w:val="20"/>
          <w:color w:val="auto"/>
        </w:rPr>
      </w:pPr>
    </w:p>
    <w:tbl>
      <w:tblPr>
        <w:tblLayout w:type="fixed"/>
        <w:tblInd w:w="364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r>
      <w:tr>
        <w:trPr>
          <w:trHeight w:val="25"/>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00" w:type="dxa"/>
            <w:vAlign w:val="bottom"/>
          </w:tcPr>
          <w:p>
            <w:pPr>
              <w:spacing w:after="0"/>
              <w:rPr>
                <w:sz w:val="18"/>
                <w:szCs w:val="18"/>
                <w:color w:val="auto"/>
              </w:rPr>
            </w:pPr>
          </w:p>
        </w:tc>
      </w:tr>
      <w:tr>
        <w:trPr>
          <w:trHeight w:val="25"/>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1"/>
        </w:trPr>
        <w:tc>
          <w:tcPr>
            <w:tcW w:w="2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NOTES</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On August 12, 2013, the Company's 100% owned subsidiary, The William Carter Company ("TWCC") issued $400 million principal amount of senior notes (the “senior notes”) at par, bearing interest at a rate of 5.25% per annum, and maturing on August 15, 2021, all of which were outstanding as of December 28, 2013. TWCC received net proceeds from the offering of the senior notes of approximately $394.2 million, after deducting bank fees. Approximately $7.0 million, including both bank fees and other third party expenses, has been capitalized in connection with the issuance and is being amortized over the term of the senior notes.</w:t>
      </w:r>
    </w:p>
    <w:p>
      <w:pPr>
        <w:spacing w:after="0" w:line="125"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The senior notes are unsecured and are fully and unconditionally guaranteed by Carter's, Inc. and certain subsidiaries of TWCC. The guarantor subsidiaries are 100% owned directly or indirectly by Carter's, Inc. and all guarantees are joint, several and unconditional.</w:t>
      </w:r>
    </w:p>
    <w:p>
      <w:pPr>
        <w:spacing w:after="0" w:line="14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11" w:lineRule="exact"/>
        <w:rPr>
          <w:sz w:val="20"/>
          <w:szCs w:val="20"/>
          <w:color w:val="auto"/>
        </w:rPr>
      </w:pPr>
    </w:p>
    <w:tbl>
      <w:tblPr>
        <w:tblLayout w:type="fixed"/>
        <w:tblInd w:w="4320" w:type="dxa"/>
        <w:tblCellMar>
          <w:top w:w="0" w:type="dxa"/>
          <w:left w:w="0" w:type="dxa"/>
          <w:bottom w:w="0" w:type="dxa"/>
          <w:right w:w="0" w:type="dxa"/>
        </w:tblCellMar>
      </w:tblPr>
      <w:tr>
        <w:trPr>
          <w:trHeight w:val="213"/>
        </w:trPr>
        <w:tc>
          <w:tcPr>
            <w:tcW w:w="16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5"/>
        </w:trPr>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6"/>
        </w:trPr>
        <w:tc>
          <w:tcPr>
            <w:tcW w:w="162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w:t>
            </w:r>
          </w:p>
        </w:tc>
      </w:tr>
      <w:tr>
        <w:trPr>
          <w:trHeight w:val="218"/>
        </w:trPr>
        <w:tc>
          <w:tcPr>
            <w:tcW w:w="16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2018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w:t>
            </w:r>
          </w:p>
        </w:tc>
      </w:tr>
      <w:tr>
        <w:trPr>
          <w:trHeight w:val="25"/>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1620" w:type="dxa"/>
            <w:vAlign w:val="bottom"/>
            <w:tcBorders>
              <w:bottom w:val="single" w:sz="8" w:color="CCEEFF"/>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rPr>
              <w:t>2019 and thereafter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608"/>
        </w:trPr>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11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9" w:name="page60"/>
    <w:bookmarkEnd w:id="59"/>
    <w:p>
      <w:pPr>
        <w:ind w:left="5243"/>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left="3"/>
        <w:spacing w:after="0" w:line="288" w:lineRule="auto"/>
        <w:rPr>
          <w:sz w:val="20"/>
          <w:szCs w:val="20"/>
          <w:color w:val="auto"/>
        </w:rPr>
      </w:pPr>
      <w:r>
        <w:rPr>
          <w:rFonts w:ascii="Times New Roman" w:cs="Times New Roman" w:eastAsia="Times New Roman" w:hAnsi="Times New Roman"/>
          <w:sz w:val="16"/>
          <w:szCs w:val="16"/>
          <w:color w:val="auto"/>
        </w:rPr>
        <w:t>In addition, until August 15, 2016, TWCC may, at its option, redeem up to 35% of the aggregate principal amount of the senior notes at a redemption price equal to 105.25% of the aggregate principal amount, plus accrued and unpaid interest, subject to certain terms, with the proceeds of certain equity offerings.</w:t>
      </w:r>
    </w:p>
    <w:p>
      <w:pPr>
        <w:spacing w:after="0" w:line="143" w:lineRule="exact"/>
        <w:rPr>
          <w:sz w:val="20"/>
          <w:szCs w:val="20"/>
          <w:color w:val="auto"/>
        </w:rPr>
      </w:pPr>
    </w:p>
    <w:p>
      <w:pPr>
        <w:ind w:left="3" w:right="40"/>
        <w:spacing w:after="0" w:line="265" w:lineRule="auto"/>
        <w:rPr>
          <w:sz w:val="20"/>
          <w:szCs w:val="20"/>
          <w:color w:val="auto"/>
        </w:rPr>
      </w:pPr>
      <w:r>
        <w:rPr>
          <w:rFonts w:ascii="Times New Roman" w:cs="Times New Roman" w:eastAsia="Times New Roman" w:hAnsi="Times New Roman"/>
          <w:sz w:val="16"/>
          <w:szCs w:val="16"/>
          <w:color w:val="auto"/>
        </w:rPr>
        <w:t>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In addition, if TWCC or any of its restricted subsidiaries engages in certain asset sales, under certain circumstances TWCC will be required to use the net proceeds to make an offer to purchase the senior notes at 100% of their principal amount.</w:t>
      </w:r>
    </w:p>
    <w:p>
      <w:pPr>
        <w:spacing w:after="0" w:line="161" w:lineRule="exact"/>
        <w:rPr>
          <w:sz w:val="20"/>
          <w:szCs w:val="20"/>
          <w:color w:val="auto"/>
        </w:rPr>
      </w:pPr>
    </w:p>
    <w:p>
      <w:pPr>
        <w:ind w:left="3" w:right="60"/>
        <w:spacing w:after="0" w:line="258" w:lineRule="auto"/>
        <w:rPr>
          <w:sz w:val="20"/>
          <w:szCs w:val="20"/>
          <w:color w:val="auto"/>
        </w:rPr>
      </w:pPr>
      <w:r>
        <w:rPr>
          <w:rFonts w:ascii="Times New Roman" w:cs="Times New Roman" w:eastAsia="Times New Roman" w:hAnsi="Times New Roman"/>
          <w:sz w:val="16"/>
          <w:szCs w:val="16"/>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w:t>
      </w:r>
    </w:p>
    <w:p>
      <w:pPr>
        <w:spacing w:after="0" w:line="1" w:lineRule="exact"/>
        <w:rPr>
          <w:sz w:val="20"/>
          <w:szCs w:val="20"/>
          <w:color w:val="auto"/>
        </w:rPr>
      </w:pPr>
    </w:p>
    <w:p>
      <w:pPr>
        <w:ind w:left="3" w:right="40" w:hanging="3"/>
        <w:spacing w:after="0" w:line="256" w:lineRule="auto"/>
        <w:tabs>
          <w:tab w:leader="none" w:pos="2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 Specific provisions restrict the ability of the Company's operating subsidiary, TWCC, from paying cash dividends to Carter’s, Inc. in excess of $100.0 million plus an additional amount that builds based on 50% of our consolidated net income on a cumulative basis beginning with the third fiscal quarter of 2013 and subject to certain conditions, unless TWCC and its consolidated subsidiaries meet a leverage ratio requirement under the indenture, which could restrict Carter’s, Inc. from paying cash dividends on our common stock.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If TWCC fails to timely complete a required registered exchange offer by May 9, 2014, the Company will be required to pay additional interest on the senior notes.</w:t>
      </w:r>
    </w:p>
    <w:p>
      <w:pPr>
        <w:spacing w:after="0" w:line="1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SECURED REVOLVING CREDIT FACILITY</w:t>
      </w:r>
    </w:p>
    <w:p>
      <w:pPr>
        <w:spacing w:after="0" w:line="86" w:lineRule="exact"/>
        <w:rPr>
          <w:sz w:val="20"/>
          <w:szCs w:val="20"/>
          <w:color w:val="auto"/>
        </w:rPr>
      </w:pPr>
    </w:p>
    <w:p>
      <w:pPr>
        <w:ind w:left="3" w:right="140"/>
        <w:spacing w:after="0" w:line="262" w:lineRule="auto"/>
        <w:rPr>
          <w:sz w:val="20"/>
          <w:szCs w:val="20"/>
          <w:color w:val="auto"/>
        </w:rPr>
      </w:pPr>
      <w:r>
        <w:rPr>
          <w:rFonts w:ascii="Times New Roman" w:cs="Times New Roman" w:eastAsia="Times New Roman" w:hAnsi="Times New Roman"/>
          <w:sz w:val="16"/>
          <w:szCs w:val="16"/>
          <w:color w:val="auto"/>
        </w:rPr>
        <w:t>On October 15, 2010, the Company entered into a $375 million ($130 million sub-limit for letters of credit and a swing line sub-limit of $40 million) secured revolving credit facility with Bank of America as sole lead arranger and administrative agent, JP Morgan Chase Bank as syndication agent, and other financial institutions. On December 22, 2011, the Company amended and restated the secured revolving credit facility to, among other things, provide a U.S. dollar secured revolving facility of $340 million ($130 million sub-limit for letters of credit and a swing line sub-limit of $40 million) and a $35 million multicurrency secured revolving facility ($15 million sub-limit for letters of credit and a swing line sub-limit of $5 million), which is available for borrowings by either TWCC or its Canadian subsidiary, in U.S. dollars or Canadian dollars.</w:t>
      </w:r>
    </w:p>
    <w:p>
      <w:pPr>
        <w:spacing w:after="0" w:line="165" w:lineRule="exact"/>
        <w:rPr>
          <w:sz w:val="20"/>
          <w:szCs w:val="20"/>
          <w:color w:val="auto"/>
        </w:rPr>
      </w:pPr>
    </w:p>
    <w:p>
      <w:pPr>
        <w:ind w:left="3" w:right="180"/>
        <w:spacing w:after="0" w:line="261" w:lineRule="auto"/>
        <w:rPr>
          <w:sz w:val="20"/>
          <w:szCs w:val="20"/>
          <w:color w:val="auto"/>
        </w:rPr>
      </w:pPr>
      <w:r>
        <w:rPr>
          <w:rFonts w:ascii="Times New Roman" w:cs="Times New Roman" w:eastAsia="Times New Roman" w:hAnsi="Times New Roman"/>
          <w:sz w:val="16"/>
          <w:szCs w:val="16"/>
          <w:color w:val="auto"/>
        </w:rPr>
        <w:t>On August 31, 2012, the Company and lenders amended and restated the secured revolving credit facility to, among other things, improve interest rates applicable to pricing, extend the maturity of the facility, and allow borrowings in currencies other than U.S. dollars or Canadian dollars subject to the consent of all multicurrency lenders. The aggregate principal amount of the facility remained unchanged at $375 million consisting of a $340 million U.S. dollar secured revolving credit facility and a $35 million multicurrency secured revolving credit facility (although the sub-limit for U.S. dollar letters of credit was increased to $175 million). In connection with the amendment, the Company recorded approximately $1.9 million in debt issuance costs which, together with the existing unamortized debt issuance costs, will be amortized over the new remaining term of the facility (five years). The secured revolving credit facility expires August 31, 2017.</w:t>
      </w:r>
    </w:p>
    <w:p>
      <w:pPr>
        <w:spacing w:after="0" w:line="163" w:lineRule="exact"/>
        <w:rPr>
          <w:sz w:val="20"/>
          <w:szCs w:val="20"/>
          <w:color w:val="auto"/>
        </w:rPr>
      </w:pPr>
    </w:p>
    <w:p>
      <w:pPr>
        <w:ind w:left="3" w:right="20"/>
        <w:spacing w:after="0" w:line="265" w:lineRule="auto"/>
        <w:rPr>
          <w:sz w:val="20"/>
          <w:szCs w:val="20"/>
          <w:color w:val="auto"/>
        </w:rPr>
      </w:pPr>
      <w:r>
        <w:rPr>
          <w:rFonts w:ascii="Times New Roman" w:cs="Times New Roman" w:eastAsia="Times New Roman" w:hAnsi="Times New Roman"/>
          <w:sz w:val="16"/>
          <w:szCs w:val="16"/>
          <w:color w:val="auto"/>
        </w:rPr>
        <w:t>During fiscal 2012, the Company repaid borrowings under its secured revolving credit facility in the amount of $50.0 million. As of December 28, 2013, the Company had approximately $186.0 million in borrowings under its secured revolving credit facility, exclusive of $9.5 million of outstanding letters of credit. Amounts outstanding under the secured revolving credit facility currently accrue interest at a LIBOR rate plus 2.00%, which, as of December 28, 2013, was 2.16%. As of December 28, 2013, there was approximately $179.5 million available for future borrowing.</w:t>
      </w:r>
    </w:p>
    <w:p>
      <w:pPr>
        <w:spacing w:after="0" w:line="14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Pricing Options</w:t>
      </w:r>
    </w:p>
    <w:p>
      <w:pPr>
        <w:spacing w:after="0" w:line="86" w:lineRule="exact"/>
        <w:rPr>
          <w:sz w:val="20"/>
          <w:szCs w:val="20"/>
          <w:color w:val="auto"/>
        </w:rPr>
      </w:pPr>
    </w:p>
    <w:p>
      <w:pPr>
        <w:ind w:left="3" w:right="120"/>
        <w:spacing w:after="0" w:line="288" w:lineRule="auto"/>
        <w:rPr>
          <w:sz w:val="20"/>
          <w:szCs w:val="20"/>
          <w:color w:val="auto"/>
        </w:rPr>
      </w:pPr>
      <w:r>
        <w:rPr>
          <w:rFonts w:ascii="Times New Roman" w:cs="Times New Roman" w:eastAsia="Times New Roman" w:hAnsi="Times New Roman"/>
          <w:sz w:val="16"/>
          <w:szCs w:val="16"/>
          <w:color w:val="auto"/>
        </w:rPr>
        <w:t>The secured revolving credit facility provides for different pricing options based on, among other things, the currency being borrowed and our leverage. Amounts outstanding under the secured revolving credit facility as of December 28, 2013 were accruing interest at a LIBOR rate plus 2.00%.</w:t>
      </w:r>
    </w:p>
    <w:p>
      <w:pPr>
        <w:spacing w:after="0" w:line="36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423"/>
          </w:cols>
          <w:pgMar w:left="237" w:top="121" w:right="239" w:bottom="1440" w:gutter="0" w:footer="0" w:header="0"/>
        </w:sectPr>
      </w:pPr>
    </w:p>
    <w:bookmarkStart w:id="60" w:name="page61"/>
    <w:bookmarkEnd w:id="6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The secured revolving credit facility contains and defines financial covenants, including a lease adjusted leverage ratio (defined as, with certain adjustments, the ratio of the Company’s consolidated indebtedness plus six times rent expense to consolidated net income before interest, taxes, depreciation, amortization, and rent expense (“EBITDAR”)) to exceed (x) if such period ends on or before December 31, 2016, 3.75:1.00 and (y) if such period ends after December 31, 2016, 3.50:1.00; and consolidated fixed charge coverage ratio (defined as, with certain adjustments, the ratio of consolidated EBITDAR to consolidated fixed charges (defined as interest plus rent expense)), for any such period to be less than 2.50:1.00.</w:t>
      </w:r>
    </w:p>
    <w:p>
      <w:pPr>
        <w:spacing w:after="0" w:line="1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Provisions in the secured credit facility currently restrict the ability of the Company's operating subsidiary, TWCC, from paying cash dividends to the parent company, Carter’s, Inc., in excess of $15.0 million unless TWCC and its consolidated subsidiaries meet certain leverage ratio and minimum availability requirements under the credit facility, which could restrict Carter’s, Inc. from paying cash dividends on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28, 2013, the Company was in compliance with its financial debt covenants under the secured revolving credit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REPURCHASES</w:t>
      </w:r>
    </w:p>
    <w:p>
      <w:pPr>
        <w:spacing w:after="0" w:line="20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6"/>
          <w:szCs w:val="16"/>
          <w:color w:val="auto"/>
        </w:rPr>
        <w:t>In the second quarter of fiscal 2013, the Board of Directors authorized the repurchase of shares in an amount up to $300 million, inclusive of amounts remaining under previous authorizations. In the third quarter of 2013, the Board approved an additional $400 million share repurchase authorization. The total remaining capacity under the repurchase authorizations as of December 28, 2013, was approximately $267.2 million. The authorizations have no expiration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repurchase any shares of its common stock during fiscal 2012 and 2011 pursuant to any share repurchase authorization.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2013, the Company repurchased shares on the open market and acquired shares under an accelerated stock repurchase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Open Market Purchases</w:t>
      </w:r>
    </w:p>
    <w:p>
      <w:pPr>
        <w:spacing w:after="0" w:line="20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6"/>
          <w:szCs w:val="16"/>
          <w:color w:val="auto"/>
        </w:rPr>
        <w:t>During the fiscal year ended December 28, 2013, the Company repurchased and retired 816,402 shares with an average share price of $66.31 for an aggregate cost of $54.1 million, in open market transactions.</w:t>
      </w:r>
    </w:p>
    <w:p>
      <w:pPr>
        <w:spacing w:after="0" w:line="19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Future repurchases may occur from time to time in the open market, in negotiated transactions, or otherwise. The timing and amount of any repurchases will be determined by the Company’s management, based on its evaluation of market conditions, share price, other investment priorities, and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Accelerated Stock Repurchase Program</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On August 29, 2013, the Company entered into a $300 million fixed dollar uncollared accelerated stock repurchase agreement (the “Uncollared ASR Agreement”) and a $100 million fixed dollar collared accelerated stock repurchase agreement (the “Collared ASR Agreement”), each with JPMorgan Chase Bank, N. A. ("JPMorgan").</w:t>
      </w:r>
    </w:p>
    <w:p>
      <w:pPr>
        <w:spacing w:after="0" w:line="14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Under the Uncollared ASR Agreement, the Company paid $300 million from cash on hand to JPMorgan to repurchase outstanding shares of the Company's common stock. Under the Collared ASR Agreement, the Company paid $100 million from cash on hand to JPMorgan to repurchase outstanding shares of the Company's common stock. As of December 28, 2013, JPMorgan had delivered approximately 4.6 million shares to the Company with a fair market value, at trade date, of approximately $328.4 million. All shares received under the ASR Agreements were retired upon receipt.</w:t>
      </w:r>
    </w:p>
    <w:p>
      <w:pPr>
        <w:spacing w:after="0" w:line="21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As of December 28, 2013, the amount of additional shares that the Company would have received under the ASR agreements, if settled on that date, was approximately one million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Both of the ASR agreements were settled in January 2014 and approximately one million shares were received with a fair market value, at trade date, of approximately $70.3 million. As of the date of settlement of the ASR agreements, the Company had received a total of approximately 5.6 million shares under the ASR program.</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The specific number of shares that the Company ultimately repurchased was determined at the date of the settlement of the Agreements based, generally, on the daily volume-weighted average share price of the Company's common stock during the term of the Agreements, less an agreed discount. For shares repurchased under the Collared ASR Agreement, the amount of shares was subject to additional provisions that established a minimum and maximum number of repurchased shares. Such minimum and maximum share numbers were based, generally, on the daily volume-weighted average share price of the Company's common stock over the period during which JPMorgan established an initial hedge position.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ASR agreements were treated as equity classified forward contracts indexed to the Company's own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In the second, third and fourth fiscal quarters of 2013, the Company's Board of Directors authorized quarterly cash dividends of $0.16 per share. The dividends were paid during the fiscal quarter in which they were declared. Future declarations of quarterly dividends and the establishment of future record and payment dates are at the discretion of the Company's Board of Directors based on a number of factors, including the Company's future financial performance and other investment priorities.</w:t>
      </w:r>
    </w:p>
    <w:p>
      <w:pPr>
        <w:spacing w:after="0" w:line="15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Provisions in the Company's secured revolving credit facility and indenture governing its senior notes could have the effect of restricting the Company’s ability to pay future cash dividends on or make future repurchases of its common stock, as further described in the Long-Term Debt note.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w:t>
      </w:r>
    </w:p>
    <w:p>
      <w:pPr>
        <w:spacing w:after="0" w:line="20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4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At the Company's May 13, 2011 shareholders' meeting, the shareholders approved a proposal to amend the Plan to (i) increase the maximum number of shares of stock available under the existing Plan by 3,725,000 shares from 12,053,392 shares to 15,778,392 shares and (ii) eliminating the Company's ability to grant cash awards and provide tax gross-ups under the Plan. As of December 28, 2013, there are 2,597,512 shares available for grant under the Plan. The Plan makes provision for the treatment of awards upon termination of service or in the case of a merger or similar corporate transaction. Participation in the Plan is limited to Directors and those key employees selected by the Compensation Committee.</w:t>
      </w:r>
    </w:p>
    <w:p>
      <w:pPr>
        <w:spacing w:after="0" w:line="16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option exercises.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Company recorded stock-based compensation cost as follows: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41"/>
        </w:trPr>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800" w:type="dxa"/>
            <w:vAlign w:val="bottom"/>
          </w:tcPr>
          <w:p>
            <w:pPr>
              <w:spacing w:after="0"/>
              <w:rPr>
                <w:sz w:val="24"/>
                <w:szCs w:val="24"/>
                <w:color w:val="auto"/>
              </w:rPr>
            </w:pPr>
          </w:p>
        </w:tc>
      </w:tr>
      <w:tr>
        <w:trPr>
          <w:trHeight w:val="25"/>
        </w:trPr>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193"/>
        </w:trPr>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628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25"/>
        </w:trPr>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1"/>
        </w:trPr>
        <w:tc>
          <w:tcPr>
            <w:tcW w:w="628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Stock options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8"/>
        </w:trPr>
        <w:tc>
          <w:tcPr>
            <w:tcW w:w="628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Restricted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9"/>
        </w:trPr>
        <w:tc>
          <w:tcPr>
            <w:tcW w:w="1600" w:type="dxa"/>
            <w:vAlign w:val="bottom"/>
          </w:tcPr>
          <w:p>
            <w:pPr>
              <w:spacing w:after="0"/>
              <w:rPr>
                <w:sz w:val="22"/>
                <w:szCs w:val="22"/>
                <w:color w:val="auto"/>
              </w:rPr>
            </w:pPr>
          </w:p>
        </w:tc>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Time-based awards</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w:t>
            </w:r>
          </w:p>
        </w:tc>
      </w:tr>
      <w:tr>
        <w:trPr>
          <w:trHeight w:val="244"/>
        </w:trPr>
        <w:tc>
          <w:tcPr>
            <w:tcW w:w="1600" w:type="dxa"/>
            <w:vAlign w:val="bottom"/>
          </w:tcPr>
          <w:p>
            <w:pPr>
              <w:spacing w:after="0"/>
              <w:rPr>
                <w:sz w:val="21"/>
                <w:szCs w:val="21"/>
                <w:color w:val="auto"/>
              </w:rPr>
            </w:pPr>
          </w:p>
        </w:tc>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Performance-based awards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44"/>
        </w:trPr>
        <w:tc>
          <w:tcPr>
            <w:tcW w:w="1600" w:type="dxa"/>
            <w:vAlign w:val="bottom"/>
          </w:tcPr>
          <w:p>
            <w:pPr>
              <w:spacing w:after="0"/>
              <w:rPr>
                <w:sz w:val="21"/>
                <w:szCs w:val="21"/>
                <w:color w:val="auto"/>
              </w:rPr>
            </w:pPr>
          </w:p>
        </w:tc>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 awards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5"/>
        </w:trPr>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628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9,644</w:t>
            </w:r>
          </w:p>
        </w:tc>
      </w:tr>
      <w:tr>
        <w:trPr>
          <w:trHeight w:val="20"/>
        </w:trPr>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the cost was reflected as a component of selling, general, and administrative expenses.</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360"/>
          </w:cols>
          <w:pgMar w:left="240" w:top="121" w:right="299" w:bottom="1440" w:gutter="0" w:footer="0" w:header="0"/>
        </w:sectPr>
      </w:pPr>
    </w:p>
    <w:bookmarkStart w:id="62" w:name="page63"/>
    <w:bookmarkEnd w:id="6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options vest in equal annual installments over a four-year period. The Company issues new shares to satisfy stock option exercises.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Company's stock options for the fiscal year ended December 28, 2013 are as follows:</w:t>
      </w:r>
    </w:p>
    <w:p>
      <w:pPr>
        <w:spacing w:after="0" w:line="155" w:lineRule="exact"/>
        <w:rPr>
          <w:sz w:val="20"/>
          <w:szCs w:val="20"/>
          <w:color w:val="auto"/>
        </w:rPr>
      </w:pPr>
    </w:p>
    <w:tbl>
      <w:tblPr>
        <w:tblLayout w:type="fixed"/>
        <w:tblInd w:w="15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Weighted-  Weighted-average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95"/>
        </w:trPr>
        <w:tc>
          <w:tcPr>
            <w:tcW w:w="358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contractual terms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3"/>
        </w:trPr>
        <w:tc>
          <w:tcPr>
            <w:tcW w:w="358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5"/>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02"/>
        </w:trPr>
        <w:tc>
          <w:tcPr>
            <w:tcW w:w="3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2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Outstanding, December 29, 2012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2,078,433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110"/>
        </w:trPr>
        <w:tc>
          <w:tcPr>
            <w:tcW w:w="3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8"/>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
        </w:trPr>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8"/>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Expired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29"/>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Outstanding, December 28, 2013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1,677,741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59,895</w:t>
            </w: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29"/>
        </w:trPr>
        <w:tc>
          <w:tcPr>
            <w:tcW w:w="3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2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Vested and Expected to Vest, December 28, 2013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57,857</w:t>
            </w:r>
          </w:p>
        </w:tc>
      </w:tr>
      <w:tr>
        <w:trPr>
          <w:trHeight w:val="218"/>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Exercisable, December 28, 2013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834,353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38,256</w:t>
            </w:r>
          </w:p>
        </w:tc>
      </w:tr>
    </w:tbl>
    <w:p>
      <w:pPr>
        <w:spacing w:after="0" w:line="20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The intrinsic value of stock options exercised during the fiscal years ended December 28, 2013, December 29, 2012, and December 31, 2011 was approximately $30.0 million, $7.2 million, and $18.9 million, respectively. At December 28, 2013, there was approximately $8.5 million of unrecognized compensation cost (net of estimated forfeitures) related to stock options which is expected to be recognized over a weighted-average period of approximately 2.6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The table below presents the assumptions used to calculate the fair value of options granted in each of the respective fiscal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8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 of options granted</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15.28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389"/>
        </w:trPr>
        <w:tc>
          <w:tcPr>
            <w:tcW w:w="4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RESTRICTED STOCK AWARDS</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Restricted stock awards issued under the Plan vest based upon continued service or performance targets.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3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The following table summarizes activity related to all restricted stock awards during the fiscal year ended December 28, 2013:</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grant-date</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4"/>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Outstanding, December 29, 2012</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766,929</w:t>
            </w:r>
          </w:p>
        </w:tc>
        <w:tc>
          <w:tcPr>
            <w:tcW w:w="560" w:type="dxa"/>
            <w:vAlign w:val="bottom"/>
            <w:tcBorders>
              <w:bottom w:val="single" w:sz="8" w:color="CCEEFF"/>
            </w:tcBorders>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33.97</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59.95</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(237,355)</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39.47</w:t>
            </w: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December 28, 2013</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786,189</w:t>
            </w:r>
          </w:p>
        </w:tc>
        <w:tc>
          <w:tcPr>
            <w:tcW w:w="56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3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63" w:name="page64"/>
    <w:bookmarkEnd w:id="6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Time-based Restricted Stock Awards</w:t>
      </w:r>
    </w:p>
    <w:p>
      <w:pPr>
        <w:spacing w:after="0" w:line="2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Restricted stock awards vest in equal annual installments or cliff vest after a three- or four-year period. At December 28, 2013, there was approximately $12.7 million of unrecognized compensation cost (net of estimated forfeitures) related to restricted stock which is expected to be recognized over a weighted-average period of approximately 2.4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Performance-based Restricted Stock Awards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During the fiscal year ended December 31, 2011, the Company granted its Chief Executive Officer 80,000 performance-based restricted shares at a fair market value of $28.39 per share. Vesting of the shares is contingent upon meeting specific performance targets through fiscal 2014. Currently, the Company believes these targets will be achieved and has recorded compensation expense based on the proration of the total ultimate expected value of the award.</w:t>
      </w:r>
    </w:p>
    <w:p>
      <w:pPr>
        <w:spacing w:after="0" w:line="1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During the fiscal year ended December 29, 2012, the Company granted its executive officers 152,000 performance-based restricted shares at a fair market value of $42.61 per share. Vesting of these shares is contingent upon meeting specific performance targets through fiscal 2014. Currently, the Company believes that these targets will be achieved and has recorded compensation expense based on the pro ration of the total ultimate expected value of the award.</w:t>
      </w:r>
    </w:p>
    <w:p>
      <w:pPr>
        <w:spacing w:after="0" w:line="156"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6"/>
          <w:szCs w:val="16"/>
          <w:color w:val="auto"/>
        </w:rPr>
        <w:t>During the fiscal year ended December 28, 2013, the Company granted its executive officers 118,200 performance-based restricted shares at a fair market value of $59.27 per share. Vesting of these shares is also contingent upon meeting specific performance targets through 2015. Currently, the Company believes that these targets will be achieved and has recorded compensation expense based on the pro ration of the total ultimate expected value of the award.</w:t>
      </w:r>
    </w:p>
    <w:p>
      <w:pPr>
        <w:spacing w:after="0" w:line="15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6"/>
          <w:szCs w:val="16"/>
          <w:color w:val="auto"/>
        </w:rPr>
        <w:t>At December 28, 2013, there was approximately $8.3 million of unrecognized compensation cost (net of estimated forfeitures) related to performance-based restricted stock awards which is expected to be recognized over a weighted-average period of approximately 2.6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2011, 2012, and 2013, the Company issued shares of common stock to its non-management board members, as follows:</w:t>
      </w:r>
    </w:p>
    <w:p>
      <w:pPr>
        <w:spacing w:after="0" w:line="155" w:lineRule="exact"/>
        <w:rPr>
          <w:sz w:val="20"/>
          <w:szCs w:val="20"/>
          <w:color w:val="auto"/>
        </w:rPr>
      </w:pPr>
    </w:p>
    <w:tbl>
      <w:tblPr>
        <w:tblLayout w:type="fixed"/>
        <w:tblInd w:w="306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Aggregate value (in</w:t>
            </w:r>
          </w:p>
        </w:tc>
      </w:tr>
      <w:tr>
        <w:trPr>
          <w:trHeight w:val="213"/>
        </w:trPr>
        <w:tc>
          <w:tcPr>
            <w:tcW w:w="13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5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5"/>
        </w:trPr>
        <w:tc>
          <w:tcPr>
            <w:tcW w:w="1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8"/>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5"/>
        </w:trPr>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6"/>
          <w:szCs w:val="16"/>
          <w:color w:val="auto"/>
        </w:rPr>
        <w:t>The Company received no proceeds from the issuance of these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EMPLOYEE BENEFIT PLANS</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Company maintains a defined contribution plan, a deferred compensation plan, and two defined benefit plans. The two defined benefit plans include: the OshKosh B'Gosh pension plan and a post-retirement life and medical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OSHKOSH B'GOSH PENSION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Funded Status</w:t>
      </w:r>
    </w:p>
    <w:p>
      <w:pPr>
        <w:spacing w:after="0" w:line="20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The retirement benefits under the OshKosh B'Gosh pension plan were frozen as of December 31, 2005. A reconciliation of changes in the projected pension benefit obligation and plan assets is as follows:</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360"/>
          </w:cols>
          <w:pgMar w:left="240" w:top="121" w:right="299" w:bottom="1440" w:gutter="0" w:footer="0" w:header="0"/>
        </w:sectPr>
      </w:pPr>
    </w:p>
    <w:bookmarkStart w:id="64" w:name="page65"/>
    <w:bookmarkEnd w:id="64"/>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8760" w:type="dxa"/>
            <w:vAlign w:val="bottom"/>
            <w:gridSpan w:val="4"/>
          </w:tcPr>
          <w:p>
            <w:pPr>
              <w:ind w:left="27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7"/>
        </w:trPr>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4"/>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300" w:type="dxa"/>
            <w:vAlign w:val="bottom"/>
          </w:tcPr>
          <w:p>
            <w:pPr>
              <w:spacing w:after="0"/>
              <w:rPr>
                <w:sz w:val="18"/>
                <w:szCs w:val="18"/>
                <w:color w:val="auto"/>
              </w:rPr>
            </w:pPr>
          </w:p>
        </w:tc>
        <w:tc>
          <w:tcPr>
            <w:tcW w:w="2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0" w:type="dxa"/>
            <w:vAlign w:val="bottom"/>
          </w:tcPr>
          <w:p>
            <w:pPr>
              <w:spacing w:after="0"/>
              <w:rPr>
                <w:sz w:val="1"/>
                <w:szCs w:val="1"/>
                <w:color w:val="auto"/>
              </w:rPr>
            </w:pPr>
          </w:p>
        </w:tc>
      </w:tr>
      <w:tr>
        <w:trPr>
          <w:trHeight w:val="25"/>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w:t>
            </w: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53,928</w:t>
            </w:r>
          </w:p>
        </w:tc>
        <w:tc>
          <w:tcPr>
            <w:tcW w:w="0" w:type="dxa"/>
            <w:vAlign w:val="bottom"/>
          </w:tcPr>
          <w:p>
            <w:pPr>
              <w:spacing w:after="0"/>
              <w:rPr>
                <w:sz w:val="1"/>
                <w:szCs w:val="1"/>
                <w:color w:val="auto"/>
              </w:rPr>
            </w:pPr>
          </w:p>
        </w:tc>
      </w:tr>
      <w:tr>
        <w:trPr>
          <w:trHeight w:val="218"/>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3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 loss</w:t>
            </w: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8"/>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5"/>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59,331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45,774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42,470</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4,792</w:t>
            </w:r>
          </w:p>
        </w:tc>
        <w:tc>
          <w:tcPr>
            <w:tcW w:w="0" w:type="dxa"/>
            <w:vAlign w:val="bottom"/>
          </w:tcPr>
          <w:p>
            <w:pPr>
              <w:spacing w:after="0"/>
              <w:rPr>
                <w:sz w:val="1"/>
                <w:szCs w:val="1"/>
                <w:color w:val="auto"/>
              </w:rPr>
            </w:pPr>
          </w:p>
        </w:tc>
      </w:tr>
      <w:tr>
        <w:trPr>
          <w:trHeight w:val="218"/>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(1,488 )</w:t>
            </w:r>
          </w:p>
        </w:tc>
        <w:tc>
          <w:tcPr>
            <w:tcW w:w="0" w:type="dxa"/>
            <w:vAlign w:val="bottom"/>
          </w:tcPr>
          <w:p>
            <w:pPr>
              <w:spacing w:after="0"/>
              <w:rPr>
                <w:sz w:val="1"/>
                <w:szCs w:val="1"/>
                <w:color w:val="auto"/>
              </w:rPr>
            </w:pPr>
          </w:p>
        </w:tc>
      </w:tr>
      <w:tr>
        <w:trPr>
          <w:trHeight w:val="25"/>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49,618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45,774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6"/>
          <w:szCs w:val="16"/>
          <w:color w:val="auto"/>
        </w:rPr>
        <w:t>The unfunded status is included in other long-term liabilities in the accompanying audited consolidated balance sheets for both fiscal 2013 and 2012. The Company does not expect to make any contributions to the OshKosh defined benefit plan during fiscal 2014 as the plan's funding exceeds the minimum funding requirements. The accumulated benefit obligation is equal to the projected benefit obligation as of December 28, 2013 and December 29, 2012 because the plan is frozen.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Periodic Pension (Benefit) Cost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periodic pension cost (benefit) included in the statement of operations was comprised of:</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60" w:type="dxa"/>
            <w:vAlign w:val="bottom"/>
            <w:gridSpan w:val="6"/>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920" w:type="dxa"/>
            <w:vAlign w:val="bottom"/>
          </w:tcPr>
          <w:p>
            <w:pPr>
              <w:spacing w:after="0"/>
              <w:rPr>
                <w:sz w:val="18"/>
                <w:szCs w:val="18"/>
                <w:color w:val="auto"/>
              </w:rPr>
            </w:pPr>
          </w:p>
        </w:tc>
      </w:tr>
      <w:tr>
        <w:trPr>
          <w:trHeight w:val="25"/>
        </w:trPr>
        <w:tc>
          <w:tcPr>
            <w:tcW w:w="436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2011</w:t>
            </w:r>
          </w:p>
        </w:tc>
      </w:tr>
      <w:tr>
        <w:trPr>
          <w:trHeight w:val="25"/>
        </w:trPr>
        <w:tc>
          <w:tcPr>
            <w:tcW w:w="4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Recognized actuarial loss</w:t>
            </w:r>
          </w:p>
        </w:tc>
        <w:tc>
          <w:tcPr>
            <w:tcW w:w="5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
        </w:trPr>
        <w:tc>
          <w:tcPr>
            <w:tcW w:w="4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periodic pension cost (benefit)</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0"/>
        </w:trPr>
        <w:tc>
          <w:tcPr>
            <w:tcW w:w="4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actuarial computations utilized the following assumptions, using year-end measurement dates:</w:t>
      </w:r>
    </w:p>
    <w:p>
      <w:pPr>
        <w:spacing w:after="0" w:line="148"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6"/>
                <w:szCs w:val="16"/>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41"/>
        </w:trPr>
        <w:tc>
          <w:tcPr>
            <w:tcW w:w="122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1"/>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15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76"/>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periodic pension cost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4"/>
                <w:szCs w:val="24"/>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2011</w:t>
            </w:r>
          </w:p>
        </w:tc>
      </w:tr>
      <w:tr>
        <w:trPr>
          <w:trHeight w:val="41"/>
        </w:trPr>
        <w:tc>
          <w:tcPr>
            <w:tcW w:w="12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1"/>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5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w:t>
            </w:r>
          </w:p>
        </w:tc>
      </w:tr>
      <w:tr>
        <w:trPr>
          <w:trHeight w:val="244"/>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1"/>
                <w:szCs w:val="21"/>
                <w:color w:val="auto"/>
              </w:rPr>
            </w:pPr>
          </w:p>
        </w:tc>
        <w:tc>
          <w:tcPr>
            <w:tcW w:w="15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r>
    </w:tbl>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The discount rates used at December 28, 2013, December 29, 2012, and December 31, 2011, were determined with consideration given to Citigroup Pension Discount and Liability index and the Barclay Capital Aggregate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65"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6"/>
          <w:szCs w:val="16"/>
          <w:color w:val="auto"/>
        </w:rPr>
        <w:t>A 0.25% change in the assumed discount rate would result in an increase or decrease in the amount of the pension plan's projected benefit obligation of approximately $2.0 million.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40"/>
          </w:cols>
          <w:pgMar w:left="240" w:top="121" w:right="219" w:bottom="1440" w:gutter="0" w:footer="0" w:header="0"/>
        </w:sectPr>
      </w:pPr>
    </w:p>
    <w:bookmarkStart w:id="65" w:name="page66"/>
    <w:bookmarkEnd w:id="6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currently expects benefit payments for its defined benefit pension plans as follows for the next ten fiscal years;</w:t>
      </w:r>
    </w:p>
    <w:p>
      <w:pPr>
        <w:spacing w:after="0" w:line="157" w:lineRule="exact"/>
        <w:rPr>
          <w:sz w:val="20"/>
          <w:szCs w:val="20"/>
          <w:color w:val="auto"/>
        </w:rPr>
      </w:pPr>
    </w:p>
    <w:tbl>
      <w:tblPr>
        <w:tblLayout w:type="fixed"/>
        <w:tblInd w:w="3860" w:type="dxa"/>
        <w:tblCellMar>
          <w:top w:w="0" w:type="dxa"/>
          <w:left w:w="0" w:type="dxa"/>
          <w:bottom w:w="0" w:type="dxa"/>
          <w:right w:w="0" w:type="dxa"/>
        </w:tblCellMar>
      </w:tblPr>
      <w:tr>
        <w:trPr>
          <w:trHeight w:val="211"/>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12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9"/>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7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r>
      <w:tr>
        <w:trPr>
          <w:trHeight w:val="218"/>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r>
      <w:tr>
        <w:trPr>
          <w:trHeight w:val="218"/>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2019-2023</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w:t>
            </w:r>
          </w:p>
        </w:tc>
      </w:tr>
      <w:tr>
        <w:trPr>
          <w:trHeight w:val="25"/>
        </w:trPr>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6"/>
          <w:szCs w:val="16"/>
          <w:i w:val="1"/>
          <w:iCs w:val="1"/>
          <w:color w:val="auto"/>
        </w:rPr>
        <w:t>Plan Assets</w:t>
      </w:r>
    </w:p>
    <w:p>
      <w:pPr>
        <w:spacing w:after="0" w:line="18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Company's investment strategy is to invest in a well diversified portfolio consisting of approximately 10 mutual funds or group annuity contracts that minimize concentration of risks by utilizing a variety of asset types, fund strategies, and fund managers. The target allocation for plan assets is 50% equity securities, 42% bond funds, and 8% real estate investments.</w:t>
      </w:r>
    </w:p>
    <w:p>
      <w:pPr>
        <w:spacing w:after="0" w:line="156"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6"/>
          <w:szCs w:val="16"/>
          <w:color w:val="auto"/>
        </w:rPr>
        <w:t>Equity securities primarily include funds invested in large-cap and mid-cap companies, primarily located in the United States, with up to 5% of the plan assets invested in international equities. Fixed income securities include funds holding corporate bonds of companies from diverse industries, and U.S. Treasuries. Real estate funds include investments in actively managed commercial real estate projects located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Company's pension plan assets at December 28, 2013 and December 29, 2012 by asset category were as follows:</w:t>
      </w:r>
    </w:p>
    <w:p>
      <w:pPr>
        <w:spacing w:after="0" w:line="149" w:lineRule="exact"/>
        <w:rPr>
          <w:sz w:val="20"/>
          <w:szCs w:val="20"/>
          <w:color w:val="auto"/>
        </w:rPr>
      </w:pPr>
    </w:p>
    <w:tbl>
      <w:tblPr>
        <w:tblLayout w:type="fixed"/>
        <w:tblInd w:w="820" w:type="dxa"/>
        <w:tblCellMar>
          <w:top w:w="0" w:type="dxa"/>
          <w:left w:w="0" w:type="dxa"/>
          <w:bottom w:w="0" w:type="dxa"/>
          <w:right w:w="0" w:type="dxa"/>
        </w:tblCellMar>
      </w:tblPr>
      <w:tr>
        <w:trPr>
          <w:trHeight w:val="214"/>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28, 2013</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 2012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Asset Category</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40" w:type="dxa"/>
            <w:vAlign w:val="bottom"/>
          </w:tcPr>
          <w:p>
            <w:pPr>
              <w:spacing w:after="0"/>
              <w:rPr>
                <w:sz w:val="16"/>
                <w:szCs w:val="16"/>
                <w:color w:val="auto"/>
              </w:rPr>
            </w:pPr>
          </w:p>
        </w:tc>
        <w:tc>
          <w:tcPr>
            <w:tcW w:w="960" w:type="dxa"/>
            <w:vAlign w:val="bottom"/>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0" w:type="dxa"/>
            <w:vAlign w:val="bottom"/>
          </w:tcPr>
          <w:p>
            <w:pPr>
              <w:spacing w:after="0"/>
              <w:rPr>
                <w:sz w:val="1"/>
                <w:szCs w:val="1"/>
                <w:color w:val="auto"/>
              </w:rPr>
            </w:pPr>
          </w:p>
        </w:tc>
      </w:tr>
      <w:tr>
        <w:trPr>
          <w:trHeight w:val="29"/>
        </w:trPr>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Equity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U.S. Large-Cap blend (a)</w:t>
            </w:r>
          </w:p>
        </w:tc>
        <w:tc>
          <w:tcPr>
            <w:tcW w:w="28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5,623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5,627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5,282</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Large-Cap growth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5,630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5,630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5,284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5,284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U.S. Mid-Cap growth</w:t>
            </w:r>
          </w:p>
        </w:tc>
        <w:tc>
          <w:tcPr>
            <w:tcW w:w="28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3,473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2,446</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Small-Cap blend</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International blend</w:t>
            </w:r>
          </w:p>
        </w:tc>
        <w:tc>
          <w:tcPr>
            <w:tcW w:w="28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Fixed income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Corporate bonds (b)</w:t>
            </w:r>
          </w:p>
        </w:tc>
        <w:tc>
          <w:tcPr>
            <w:tcW w:w="28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 estate (c)</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49,618</w:t>
            </w:r>
          </w:p>
        </w:tc>
        <w:tc>
          <w:tcPr>
            <w:tcW w:w="12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40,401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9,217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45,774</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37,942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7,832</w:t>
            </w:r>
          </w:p>
        </w:tc>
        <w:tc>
          <w:tcPr>
            <w:tcW w:w="0" w:type="dxa"/>
            <w:vAlign w:val="bottom"/>
          </w:tcPr>
          <w:p>
            <w:pPr>
              <w:spacing w:after="0"/>
              <w:rPr>
                <w:sz w:val="1"/>
                <w:szCs w:val="1"/>
                <w:color w:val="auto"/>
              </w:rPr>
            </w:pPr>
          </w:p>
        </w:tc>
      </w:tr>
      <w:tr>
        <w:trPr>
          <w:trHeight w:val="69"/>
        </w:trPr>
        <w:tc>
          <w:tcPr>
            <w:tcW w:w="2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780" w:hanging="198"/>
        <w:spacing w:after="0"/>
        <w:tabs>
          <w:tab w:leader="none" w:pos="7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category comprises low-cost equity index funds not actively managed that track the S&amp;P 500.</w:t>
      </w:r>
    </w:p>
    <w:p>
      <w:pPr>
        <w:spacing w:after="0" w:line="1" w:lineRule="exact"/>
        <w:rPr>
          <w:rFonts w:ascii="Times New Roman" w:cs="Times New Roman" w:eastAsia="Times New Roman" w:hAnsi="Times New Roman"/>
          <w:sz w:val="15"/>
          <w:szCs w:val="15"/>
          <w:color w:val="auto"/>
        </w:rPr>
      </w:pPr>
    </w:p>
    <w:p>
      <w:pPr>
        <w:ind w:left="780" w:hanging="198"/>
        <w:spacing w:after="0" w:line="237" w:lineRule="auto"/>
        <w:tabs>
          <w:tab w:leader="none" w:pos="7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category invests in both U.S. Treasuries and mid-term corporate debt from U.S. issuers from diverse industries.</w:t>
      </w:r>
    </w:p>
    <w:p>
      <w:pPr>
        <w:ind w:left="780" w:hanging="198"/>
        <w:spacing w:after="0"/>
        <w:tabs>
          <w:tab w:leader="none" w:pos="7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category invests in active management of U.S. commercial real estate projects.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POST-RETIREMENT LIFE AND MEDICAL PLAN</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Accumulated Post-Retirement Benefit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accumulated post-retirement benefit obligation (“APBO”) under this plan:</w:t>
      </w: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260"/>
          </w:cols>
          <w:pgMar w:left="240" w:top="121" w:right="399" w:bottom="1440" w:gutter="0" w:footer="0" w:header="0"/>
        </w:sectPr>
      </w:pPr>
    </w:p>
    <w:bookmarkStart w:id="66" w:name="page67"/>
    <w:bookmarkEnd w:id="66"/>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tbl>
      <w:tblPr>
        <w:tblLayout w:type="fixed"/>
        <w:tblInd w:w="1320" w:type="dxa"/>
        <w:tblCellMar>
          <w:top w:w="0" w:type="dxa"/>
          <w:left w:w="0" w:type="dxa"/>
          <w:bottom w:w="0" w:type="dxa"/>
          <w:right w:w="0" w:type="dxa"/>
        </w:tblCellMar>
      </w:tblPr>
      <w:tr>
        <w:trPr>
          <w:trHeight w:val="213"/>
        </w:trPr>
        <w:tc>
          <w:tcPr>
            <w:tcW w:w="7380" w:type="dxa"/>
            <w:vAlign w:val="bottom"/>
            <w:gridSpan w:val="4"/>
          </w:tcPr>
          <w:p>
            <w:pPr>
              <w:ind w:left="18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737"/>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r>
      <w:tr>
        <w:trPr>
          <w:trHeight w:val="25"/>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APBO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7,335</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5"/>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gain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5"/>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participants' contribution</w:t>
            </w: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5"/>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 gain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APBO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6,876</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Approximately $5.1 million and $6.2 million of the APBO at the end of the period is included in other long term liabilities in the accompanying audited consolidated balance sheets for fiscal 2013 and 2012,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Periodic Post-Retirement Benefit (Income) Cost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post-retirement benefit expense charged to the statement of operations are as follows:</w:t>
      </w:r>
    </w:p>
    <w:p>
      <w:pPr>
        <w:spacing w:after="0" w:line="155"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360" w:type="dxa"/>
            <w:vAlign w:val="bottom"/>
          </w:tcPr>
          <w:p>
            <w:pPr>
              <w:spacing w:after="0"/>
              <w:rPr>
                <w:sz w:val="18"/>
                <w:szCs w:val="18"/>
                <w:color w:val="auto"/>
              </w:rPr>
            </w:pPr>
          </w:p>
        </w:tc>
      </w:tr>
      <w:tr>
        <w:trPr>
          <w:trHeight w:val="25"/>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3"/>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20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25"/>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0"/>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cost – benefits attributed to service during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r>
      <w:tr>
        <w:trPr>
          <w:trHeight w:val="218"/>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cost on accumulated post-retirement benefit obligation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net actuarial gain</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8"/>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Curtailment gain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9"/>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net periodic post-retirement benefit (income)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Curtailment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2013, a curtailment gain was recognized as a result of the Company's facility closures, which decreased the number of employees eligible for retiree medical benefits.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actuarial computations utilized the following assumptions, using year-end measurement dates:</w:t>
      </w:r>
    </w:p>
    <w:p>
      <w:pPr>
        <w:spacing w:after="0" w:line="155"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4"/>
                <w:szCs w:val="24"/>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periodic pension cost</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4.0%</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6"/>
          <w:szCs w:val="16"/>
          <w:color w:val="auto"/>
        </w:rPr>
        <w:t>The discount rates used at December 28, 2013, December 29, 2012 and December 31, 2011,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5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340"/>
          </w:cols>
          <w:pgMar w:left="240" w:top="121" w:right="319" w:bottom="1440" w:gutter="0" w:footer="0" w:header="0"/>
        </w:sectPr>
      </w:pPr>
    </w:p>
    <w:bookmarkStart w:id="67" w:name="page68"/>
    <w:bookmarkEnd w:id="67"/>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The Company's contribution for these post-retirement benefit obligations was $0.5 million, $0.5 million, and $0.6 million in fiscal 2013, 2012, and 2011, respectively. The Company expects that its contribution and benefit payments for post-retirement benefit obligations each year from fiscal 2014 through fiscal 2018 will be approximately $0.5 million. For the six years subsequent to fiscal 2018, the aggregate contributions and benefit payments for post-retirement benefit obligations will be approximately $1.9 million. The Company does not pre-fund this plan and as a result there are no plan assets. The measurement date used to determine the post-retirement benefit obligations is as of the end of the fiscal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COMPENSATION PLAN</w:t>
      </w:r>
    </w:p>
    <w:p>
      <w:pPr>
        <w:spacing w:after="0" w:line="208"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6"/>
          <w:szCs w:val="16"/>
          <w:color w:val="auto"/>
        </w:rPr>
        <w:t>The Company maintains a deferred compensation plan allowing salary and incentive compensation deferrals for qualifying employees as permitted by the Internal Revenue Code. Participant deferrals earn investment returns based on a select number of investment options, including equity, debt, and real estate mutual funds. Beginning in fiscal 2012, the Company invests comparable amounts in marketable securities to mitigate the risk associated with the investment return on the employee deferrals.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20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 also sponsors a defined contribution savings plan within the United States. This plan covers employees who are at least 21 years of age and have completed three months of service, during which at least 250 hours were served. The plan provides for a discretionary employer match. The Company's expense for the defined contribution savings plan totaled approximately $8.5 million, $6.3 million, and $4.5 million for the fiscal years ended December 28, 2013, December 29, 2012, and December 31, 2011,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11 – INCOME TAXES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0"/>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0"/>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provision for income taxes consists of the following:</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1"/>
        </w:trPr>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
        </w:trPr>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1"/>
        </w:trPr>
        <w:tc>
          <w:tcPr>
            <w:tcW w:w="8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2011</w:t>
            </w:r>
          </w:p>
        </w:tc>
      </w:tr>
      <w:tr>
        <w:trPr>
          <w:trHeight w:val="25"/>
        </w:trPr>
        <w:tc>
          <w:tcPr>
            <w:tcW w:w="86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86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Current tax provision: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8"/>
        </w:trPr>
        <w:tc>
          <w:tcPr>
            <w:tcW w:w="86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Federal</w:t>
            </w:r>
          </w:p>
        </w:tc>
        <w:tc>
          <w:tcPr>
            <w:tcW w:w="26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71,696</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87,070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48,141</w:t>
            </w:r>
          </w:p>
        </w:tc>
      </w:tr>
      <w:tr>
        <w:trPr>
          <w:trHeight w:val="25"/>
        </w:trPr>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860" w:type="dxa"/>
            <w:vAlign w:val="bottom"/>
            <w:tcBorders>
              <w:right w:val="single" w:sz="8" w:color="CCEEFF"/>
            </w:tcBorders>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4,550</w:t>
            </w:r>
          </w:p>
        </w:tc>
      </w:tr>
      <w:tr>
        <w:trPr>
          <w:trHeight w:val="218"/>
        </w:trPr>
        <w:tc>
          <w:tcPr>
            <w:tcW w:w="8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5,053</w:t>
            </w:r>
          </w:p>
        </w:tc>
      </w:tr>
      <w:tr>
        <w:trPr>
          <w:trHeight w:val="25"/>
        </w:trPr>
        <w:tc>
          <w:tcPr>
            <w:tcW w:w="86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9"/>
        </w:trPr>
        <w:tc>
          <w:tcPr>
            <w:tcW w:w="860" w:type="dxa"/>
            <w:vAlign w:val="bottom"/>
            <w:tcBorders>
              <w:right w:val="single" w:sz="8" w:color="CCEEFF"/>
            </w:tcBorders>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57,744</w:t>
            </w:r>
          </w:p>
        </w:tc>
      </w:tr>
      <w:tr>
        <w:trPr>
          <w:trHeight w:val="20"/>
        </w:trPr>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41"/>
        </w:trPr>
        <w:tc>
          <w:tcPr>
            <w:tcW w:w="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4"/>
        </w:trPr>
        <w:tc>
          <w:tcPr>
            <w:tcW w:w="860" w:type="dxa"/>
            <w:vAlign w:val="bottom"/>
            <w:tcBorders>
              <w:right w:val="single" w:sz="8" w:color="CCEEFF"/>
            </w:tcBorders>
          </w:tcPr>
          <w:p>
            <w:pPr>
              <w:spacing w:after="0"/>
              <w:rPr>
                <w:sz w:val="19"/>
                <w:szCs w:val="19"/>
                <w:color w:val="auto"/>
              </w:rPr>
            </w:pPr>
          </w:p>
        </w:tc>
        <w:tc>
          <w:tcPr>
            <w:tcW w:w="424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Deferred tax provision (benefit):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86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Federal</w:t>
            </w:r>
          </w:p>
        </w:tc>
        <w:tc>
          <w:tcPr>
            <w:tcW w:w="2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10,511</w:t>
            </w:r>
          </w:p>
        </w:tc>
      </w:tr>
      <w:tr>
        <w:trPr>
          <w:trHeight w:val="25"/>
        </w:trPr>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860" w:type="dxa"/>
            <w:vAlign w:val="bottom"/>
            <w:tcBorders>
              <w:right w:val="single" w:sz="8" w:color="CCEEFF"/>
            </w:tcBorders>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w:t>
            </w:r>
          </w:p>
        </w:tc>
      </w:tr>
      <w:tr>
        <w:trPr>
          <w:trHeight w:val="218"/>
        </w:trPr>
        <w:tc>
          <w:tcPr>
            <w:tcW w:w="8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r>
      <w:tr>
        <w:trPr>
          <w:trHeight w:val="25"/>
        </w:trPr>
        <w:tc>
          <w:tcPr>
            <w:tcW w:w="86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6"/>
        </w:trPr>
        <w:tc>
          <w:tcPr>
            <w:tcW w:w="860" w:type="dxa"/>
            <w:vAlign w:val="bottom"/>
            <w:tcBorders>
              <w:right w:val="single" w:sz="8" w:color="CCEEFF"/>
            </w:tcBorders>
          </w:tcPr>
          <w:p>
            <w:pPr>
              <w:spacing w:after="0"/>
              <w:rPr>
                <w:sz w:val="20"/>
                <w:szCs w:val="20"/>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provision</w:t>
            </w: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9,128</w:t>
            </w:r>
          </w:p>
        </w:tc>
      </w:tr>
      <w:tr>
        <w:trPr>
          <w:trHeight w:val="229"/>
        </w:trPr>
        <w:tc>
          <w:tcPr>
            <w:tcW w:w="86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89,058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66,872</w:t>
            </w:r>
          </w:p>
        </w:tc>
      </w:tr>
      <w:tr>
        <w:trPr>
          <w:trHeight w:val="20"/>
        </w:trPr>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The foreign portion of the tax position relates to Canadian and Hong Kong income taxes on the Company's international operations, subsequent to the Acquisition, and foreign tax withholdings related to the Company's foreign royalty income. An immaterial deferred tax asset related to initial Japan operations has been fully offset with a valuation allowance, and does not impact the fiscal 2013 or 2012 tax provision or effective tax rate. The components of income before income taxes are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440"/>
          </w:cols>
          <w:pgMar w:left="240" w:top="121" w:right="219" w:bottom="1440" w:gutter="0" w:footer="0" w:header="0"/>
        </w:sectPr>
      </w:pPr>
    </w:p>
    <w:bookmarkStart w:id="68" w:name="page69"/>
    <w:bookmarkEnd w:id="6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120" w:type="dxa"/>
            <w:vAlign w:val="bottom"/>
          </w:tcPr>
          <w:p>
            <w:pPr>
              <w:spacing w:after="0"/>
              <w:rPr>
                <w:sz w:val="18"/>
                <w:szCs w:val="18"/>
                <w:color w:val="auto"/>
              </w:rPr>
            </w:pPr>
          </w:p>
        </w:tc>
      </w:tr>
      <w:tr>
        <w:trPr>
          <w:trHeight w:val="25"/>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25"/>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174,627</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r>
      <w:tr>
        <w:trPr>
          <w:trHeight w:val="25"/>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180,888</w:t>
            </w: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EFFECTIVE RATE RECONCILIATION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difference between the Company's effective income tax rate and the federal statutory tax rate is reconciled below:</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1760" w:type="dxa"/>
            <w:vAlign w:val="bottom"/>
          </w:tcPr>
          <w:p>
            <w:pPr>
              <w:spacing w:after="0"/>
              <w:rPr>
                <w:sz w:val="18"/>
                <w:szCs w:val="18"/>
                <w:color w:val="auto"/>
              </w:rPr>
            </w:pPr>
          </w:p>
        </w:tc>
      </w:tr>
      <w:tr>
        <w:trPr>
          <w:trHeight w:val="25"/>
        </w:trPr>
        <w:tc>
          <w:tcPr>
            <w:tcW w:w="49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1"/>
        </w:trPr>
        <w:tc>
          <w:tcPr>
            <w:tcW w:w="496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1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2011</w:t>
            </w:r>
          </w:p>
        </w:tc>
      </w:tr>
      <w:tr>
        <w:trPr>
          <w:trHeight w:val="25"/>
        </w:trPr>
        <w:tc>
          <w:tcPr>
            <w:tcW w:w="49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2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Statutory federal income tax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 net of federal income tax benefit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uncertain tax positions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5"/>
        </w:trPr>
        <w:tc>
          <w:tcPr>
            <w:tcW w:w="49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r>
      <w:tr>
        <w:trPr>
          <w:trHeight w:val="20"/>
        </w:trPr>
        <w:tc>
          <w:tcPr>
            <w:tcW w:w="49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 and its subsidiaries file income tax returns in the United States and in various states and local jurisdictions. The Company’s subsidiaries also file income tax returns in Canada (including various Canadian provinces), Hong Kong, and Japan. The Internal Revenue Service initiated an income tax audit for fiscal 2011 during late 2013, and completed its income tax audit for fiscal 2009 during fiscal 2011. The federal statute of limitations for fiscal 2008 closed during the third quarter of fiscal 2012. In most cases, the Company is no longer subject to state and local tax authority examinations for years prior to fiscal 2009.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DEFERRED TAXES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Components of deferred tax assets and liabilities were as follows: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520" w:type="dxa"/>
            <w:vAlign w:val="bottom"/>
          </w:tcPr>
          <w:p>
            <w:pPr>
              <w:spacing w:after="0"/>
              <w:rPr>
                <w:sz w:val="24"/>
                <w:szCs w:val="24"/>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60" w:type="dxa"/>
            <w:vAlign w:val="bottom"/>
          </w:tcPr>
          <w:p>
            <w:pPr>
              <w:spacing w:after="0"/>
              <w:rPr>
                <w:sz w:val="24"/>
                <w:szCs w:val="24"/>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4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4"/>
          </w:tcPr>
          <w:p>
            <w:pPr>
              <w:jc w:val="right"/>
              <w:ind w:right="1039"/>
              <w:spacing w:after="0" w:line="151" w:lineRule="exact"/>
              <w:rPr>
                <w:sz w:val="20"/>
                <w:szCs w:val="20"/>
                <w:color w:val="auto"/>
              </w:rPr>
            </w:pPr>
            <w:r>
              <w:rPr>
                <w:rFonts w:ascii="Times New Roman" w:cs="Times New Roman" w:eastAsia="Times New Roman" w:hAnsi="Times New Roman"/>
                <w:sz w:val="16"/>
                <w:szCs w:val="16"/>
                <w:b w:val="1"/>
                <w:bCs w:val="1"/>
                <w:color w:val="auto"/>
              </w:rPr>
              <w:t>Assets (Liabilities)</w:t>
            </w:r>
          </w:p>
        </w:tc>
        <w:tc>
          <w:tcPr>
            <w:tcW w:w="0" w:type="dxa"/>
            <w:vAlign w:val="bottom"/>
          </w:tcPr>
          <w:p>
            <w:pPr>
              <w:spacing w:after="0"/>
              <w:rPr>
                <w:sz w:val="1"/>
                <w:szCs w:val="1"/>
                <w:color w:val="auto"/>
              </w:rPr>
            </w:pPr>
          </w:p>
        </w:tc>
      </w:tr>
      <w:tr>
        <w:trPr>
          <w:trHeight w:val="53"/>
        </w:trPr>
        <w:tc>
          <w:tcPr>
            <w:tcW w:w="15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20" w:type="dxa"/>
            <w:vAlign w:val="bottom"/>
            <w:tcBorders>
              <w:right w:val="single" w:sz="8" w:color="CCEEFF"/>
            </w:tcBorders>
          </w:tcPr>
          <w:p>
            <w:pPr>
              <w:spacing w:after="0"/>
              <w:rPr>
                <w:sz w:val="19"/>
                <w:szCs w:val="19"/>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allowance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4,036</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8,974</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20" w:type="dxa"/>
            <w:vAlign w:val="bottom"/>
            <w:tcBorders>
              <w:right w:val="single" w:sz="8" w:color="CCEEFF"/>
            </w:tcBorders>
          </w:tcPr>
          <w:p>
            <w:pPr>
              <w:spacing w:after="0"/>
              <w:rPr>
                <w:sz w:val="19"/>
                <w:szCs w:val="19"/>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14,829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16,361</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8,795</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20" w:type="dxa"/>
            <w:vAlign w:val="bottom"/>
            <w:tcBorders>
              <w:right w:val="single" w:sz="8" w:color="CCEEFF"/>
            </w:tcBorders>
          </w:tcPr>
          <w:p>
            <w:pPr>
              <w:spacing w:after="0"/>
              <w:rPr>
                <w:sz w:val="19"/>
                <w:szCs w:val="19"/>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employee benefits</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8,626</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rent</w:t>
            </w: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15,543</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520" w:type="dxa"/>
            <w:vAlign w:val="bottom"/>
            <w:tcBorders>
              <w:right w:val="single" w:sz="8" w:color="CCEEFF"/>
            </w:tcBorders>
          </w:tcPr>
          <w:p>
            <w:pPr>
              <w:spacing w:after="0"/>
              <w:rPr>
                <w:sz w:val="21"/>
                <w:szCs w:val="21"/>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69"/>
        </w:trPr>
        <w:tc>
          <w:tcPr>
            <w:tcW w:w="1520" w:type="dxa"/>
            <w:vAlign w:val="bottom"/>
          </w:tcPr>
          <w:p>
            <w:pPr>
              <w:spacing w:after="0"/>
              <w:rPr>
                <w:sz w:val="23"/>
                <w:szCs w:val="23"/>
                <w:color w:val="auto"/>
              </w:rPr>
            </w:pPr>
          </w:p>
        </w:tc>
        <w:tc>
          <w:tcPr>
            <w:tcW w:w="4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83,007</w:t>
            </w:r>
          </w:p>
        </w:tc>
        <w:tc>
          <w:tcPr>
            <w:tcW w:w="8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67,668</w:t>
            </w:r>
          </w:p>
        </w:tc>
        <w:tc>
          <w:tcPr>
            <w:tcW w:w="0" w:type="dxa"/>
            <w:vAlign w:val="bottom"/>
          </w:tcPr>
          <w:p>
            <w:pPr>
              <w:spacing w:after="0"/>
              <w:rPr>
                <w:sz w:val="1"/>
                <w:szCs w:val="1"/>
                <w:color w:val="auto"/>
              </w:rPr>
            </w:pPr>
          </w:p>
        </w:tc>
      </w:tr>
      <w:tr>
        <w:trPr>
          <w:trHeight w:val="206"/>
        </w:trPr>
        <w:tc>
          <w:tcPr>
            <w:tcW w:w="1520" w:type="dxa"/>
            <w:vAlign w:val="bottom"/>
            <w:tcBorders>
              <w:right w:val="single" w:sz="8" w:color="CCEEFF"/>
            </w:tcBorders>
          </w:tcPr>
          <w:p>
            <w:pPr>
              <w:spacing w:after="0"/>
              <w:rPr>
                <w:sz w:val="17"/>
                <w:szCs w:val="17"/>
                <w:color w:val="auto"/>
              </w:rPr>
            </w:pPr>
          </w:p>
        </w:tc>
        <w:tc>
          <w:tcPr>
            <w:tcW w:w="490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(54,809)</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(29,141)</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20" w:type="dxa"/>
            <w:vAlign w:val="bottom"/>
            <w:tcBorders>
              <w:right w:val="single" w:sz="8" w:color="CCEEFF"/>
            </w:tcBorders>
          </w:tcPr>
          <w:p>
            <w:pPr>
              <w:spacing w:after="0"/>
              <w:rPr>
                <w:sz w:val="19"/>
                <w:szCs w:val="19"/>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Tradename and licensing agreements</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(114,140)</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520" w:type="dxa"/>
            <w:vAlign w:val="bottom"/>
            <w:tcBorders>
              <w:right w:val="single" w:sz="8" w:color="CCEEFF"/>
            </w:tcBorders>
          </w:tcPr>
          <w:p>
            <w:pPr>
              <w:spacing w:after="0"/>
              <w:rPr>
                <w:sz w:val="19"/>
                <w:szCs w:val="19"/>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(146,334)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The net deferred tax liability is classified on the accompanying audited consolidated balance sheets as follows:</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340"/>
          </w:cols>
          <w:pgMar w:left="240" w:top="121" w:right="319" w:bottom="1440" w:gutter="0" w:footer="0" w:header="0"/>
        </w:sectPr>
      </w:pPr>
    </w:p>
    <w:bookmarkStart w:id="69" w:name="page70"/>
    <w:bookmarkEnd w:id="69"/>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tbl>
      <w:tblPr>
        <w:tblLayout w:type="fixed"/>
        <w:tblInd w:w="1500" w:type="dxa"/>
        <w:tblCellMar>
          <w:top w:w="0" w:type="dxa"/>
          <w:left w:w="0" w:type="dxa"/>
          <w:bottom w:w="0" w:type="dxa"/>
          <w:right w:w="0" w:type="dxa"/>
        </w:tblCellMar>
      </w:tblPr>
      <w:tr>
        <w:trPr>
          <w:trHeight w:val="213"/>
        </w:trPr>
        <w:tc>
          <w:tcPr>
            <w:tcW w:w="6880" w:type="dxa"/>
            <w:vAlign w:val="bottom"/>
            <w:gridSpan w:val="5"/>
          </w:tcPr>
          <w:p>
            <w:pPr>
              <w:ind w:left="16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1560" w:type="dxa"/>
            <w:vAlign w:val="bottom"/>
          </w:tcPr>
          <w:p>
            <w:pPr>
              <w:spacing w:after="0"/>
              <w:rPr>
                <w:sz w:val="18"/>
                <w:szCs w:val="18"/>
                <w:color w:val="auto"/>
              </w:rPr>
            </w:pPr>
          </w:p>
        </w:tc>
      </w:tr>
      <w:tr>
        <w:trPr>
          <w:trHeight w:val="73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60" w:type="dxa"/>
            <w:vAlign w:val="bottom"/>
          </w:tcPr>
          <w:p>
            <w:pPr>
              <w:spacing w:after="0"/>
              <w:rPr>
                <w:sz w:val="24"/>
                <w:szCs w:val="24"/>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r>
      <w:tr>
        <w:trPr>
          <w:trHeight w:val="211"/>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Assets (Liabilities)</w:t>
            </w:r>
          </w:p>
        </w:tc>
      </w:tr>
      <w:tr>
        <w:trPr>
          <w:trHeight w:val="25"/>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net 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35,675</w:t>
            </w:r>
          </w:p>
        </w:tc>
      </w:tr>
      <w:tr>
        <w:trPr>
          <w:trHeight w:val="218"/>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net deferred tax liability</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r>
      <w:tr>
        <w:trPr>
          <w:trHeight w:val="25"/>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(78,666)</w:t>
            </w: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The Company has not provided deferred taxes on undistributed earnings from its Canadian subsidiary, as the Company anticipates that these earnings will be reinvested indefinitely. Undistributed earnings from the Company's Canadian subsidiary at December 28, 2013, amounted to approximately $44.2 million. These earnings have been reinvested in Canadian operations and the Company does not currently plan to initiate any action that would result in these earnings being repatriated to the U.S. Because of the availability of foreign tax credits, it is not practicable to determine the U.S. federal income tax liability that would be payable if such earnings were not reinvested indefinitely. As of December 28, 2013, the Company has not yet generated any material earnings from its Hong Kong or Japanese subsidiaries.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90"/>
        </w:trPr>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is a reconciliation of the beginning and ending amount of unrecognized tax benefits: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960" w:type="dxa"/>
            <w:vAlign w:val="bottom"/>
          </w:tcPr>
          <w:p>
            <w:pPr>
              <w:spacing w:after="0"/>
              <w:rPr>
                <w:sz w:val="24"/>
                <w:szCs w:val="24"/>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196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2011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fiscal 2011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196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lapse of statute of limitations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1"/>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2011</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8,345</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196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fiscal 2012</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for prior year tax positions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196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lapse of statute of limitations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prior year tax settlements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5"/>
        </w:trPr>
        <w:tc>
          <w:tcPr>
            <w:tcW w:w="196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6"/>
        </w:trPr>
        <w:tc>
          <w:tcPr>
            <w:tcW w:w="196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2012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fiscal 2013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196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8"/>
        </w:trPr>
        <w:tc>
          <w:tcPr>
            <w:tcW w:w="196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lapse of statute of limitations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5"/>
        </w:trPr>
        <w:tc>
          <w:tcPr>
            <w:tcW w:w="19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29"/>
        </w:trPr>
        <w:tc>
          <w:tcPr>
            <w:tcW w:w="196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2013</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11,182</w:t>
            </w:r>
          </w:p>
        </w:tc>
      </w:tr>
      <w:tr>
        <w:trPr>
          <w:trHeight w:val="20"/>
        </w:trPr>
        <w:tc>
          <w:tcPr>
            <w:tcW w:w="19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color w:val="auto"/>
        </w:rPr>
        <w:t>As of December 28, 2013, the Company had gross unrecognized tax benefits of approximately $11.2 million, of which $8.0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6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6"/>
          <w:szCs w:val="16"/>
          <w:color w:val="auto"/>
        </w:rPr>
        <w:t>Included in the reserves for unrecognized tax benefits are approximately $1.9 million of reserves for which the statute of limitations is expected to expire within the next fiscal year. If these tax benefits are ultimately recognized, such recognition, net of federal income taxes, may affect the annual effective tax rate for fiscal 2014 and the effective tax rate in the quarter in which the benefits are recognized.</w:t>
      </w:r>
    </w:p>
    <w:p>
      <w:pPr>
        <w:spacing w:after="0" w:line="15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Company recognizes interest related to unrecognized tax benefits as a component of interest expense and penalties related to unrecognized tax benefits as a component of income tax expense. During fiscal 2013, 2012, and 2011, interest expense recorded on uncertain tax positions was not significant. The Company had approximately $0.8 million and $0.7 million of interest accrued on uncertain tax positions as of December 28, 2013 and December 29, 2012,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EARNINGS PER SHARE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basic common shares outstanding to diluted common and common equivalent shares outstanding: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fiscal years ended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Weighted-average number of common and common equivalent shares</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outstanding:</w:t>
            </w:r>
          </w:p>
        </w:tc>
        <w:tc>
          <w:tcPr>
            <w:tcW w:w="3580" w:type="dxa"/>
            <w:vAlign w:val="bottom"/>
            <w:tcBorders>
              <w:top w:val="single" w:sz="8" w:color="auto"/>
            </w:tcBorders>
            <w:gridSpan w:val="2"/>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7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56,931,216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58,217,503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57,513,748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851,684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701,169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00" w:type="dxa"/>
            <w:vAlign w:val="bottom"/>
            <w:gridSpan w:val="4"/>
          </w:tcPr>
          <w:p>
            <w:pPr>
              <w:ind w:left="160"/>
              <w:spacing w:after="0" w:line="183" w:lineRule="exact"/>
              <w:rPr>
                <w:sz w:val="20"/>
                <w:szCs w:val="20"/>
                <w:color w:val="auto"/>
              </w:rPr>
            </w:pPr>
            <w:r>
              <w:rPr>
                <w:rFonts w:ascii="Times New Roman" w:cs="Times New Roman" w:eastAsia="Times New Roman" w:hAnsi="Times New Roman"/>
                <w:sz w:val="16"/>
                <w:szCs w:val="16"/>
                <w:color w:val="auto"/>
              </w:rPr>
              <w:t>Diluted number of common and common equivalent shares</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57,522,167</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59,069,187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58,214,917</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4"/>
          </w:tcPr>
          <w:p>
            <w:pPr>
              <w:ind w:left="30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Earnings per share:</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160,407</w:t>
            </w:r>
          </w:p>
        </w:tc>
        <w:tc>
          <w:tcPr>
            <w:tcW w:w="3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161,150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114,016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20" w:type="dxa"/>
            <w:vAlign w:val="bottom"/>
            <w:tcBorders>
              <w:right w:val="single" w:sz="8" w:color="CCEEFF"/>
            </w:tcBorders>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158,263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159,055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112,805</w:t>
            </w:r>
          </w:p>
        </w:tc>
        <w:tc>
          <w:tcPr>
            <w:tcW w:w="0" w:type="dxa"/>
            <w:vAlign w:val="bottom"/>
          </w:tcPr>
          <w:p>
            <w:pPr>
              <w:spacing w:after="0"/>
              <w:rPr>
                <w:sz w:val="1"/>
                <w:szCs w:val="1"/>
                <w:color w:val="auto"/>
              </w:rPr>
            </w:pPr>
          </w:p>
        </w:tc>
      </w:tr>
      <w:tr>
        <w:trPr>
          <w:trHeight w:val="65"/>
        </w:trPr>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32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tcBorders>
              <w:right w:val="single" w:sz="8" w:color="CCEEFF"/>
            </w:tcBorders>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160,407</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161,150</w:t>
            </w:r>
          </w:p>
        </w:tc>
        <w:tc>
          <w:tcPr>
            <w:tcW w:w="120" w:type="dxa"/>
            <w:vAlign w:val="bottom"/>
            <w:tcBorders>
              <w:right w:val="single" w:sz="8" w:color="CCEEFF"/>
            </w:tcBorders>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158,281</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159,078</w:t>
            </w:r>
          </w:p>
        </w:tc>
        <w:tc>
          <w:tcPr>
            <w:tcW w:w="120" w:type="dxa"/>
            <w:vAlign w:val="bottom"/>
            <w:tcBorders>
              <w:right w:val="single" w:sz="8" w:color="CCEEFF"/>
            </w:tcBorders>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112,817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right w:val="single" w:sz="8" w:color="CCEEFF"/>
            </w:tcBorders>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Anti-dilutive shares excluded from dilutive earnings per share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calculations (1)</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355,900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613,000</w:t>
            </w:r>
          </w:p>
        </w:tc>
        <w:tc>
          <w:tcPr>
            <w:tcW w:w="120" w:type="dxa"/>
            <w:vAlign w:val="bottom"/>
            <w:tcBorders>
              <w:right w:val="single" w:sz="8" w:color="CCEEFF"/>
            </w:tcBorders>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935,000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rPr>
          <w:sz w:val="20"/>
          <w:szCs w:val="20"/>
          <w:color w:val="auto"/>
        </w:rPr>
      </w:pPr>
      <w:r>
        <w:rPr>
          <w:rFonts w:ascii="Times New Roman" w:cs="Times New Roman" w:eastAsia="Times New Roman" w:hAnsi="Times New Roman"/>
          <w:sz w:val="15"/>
          <w:szCs w:val="15"/>
          <w:color w:val="auto"/>
        </w:rPr>
        <w:t>(1) The volume of antidilutive shares is, in part, due to the related unamortized compensation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ASR Agreements discussed in the common stock footnote, the Company received a total of approximately 4.6 million shares as of December 28,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shares were retired upon receipt and, accordingly, reduced the Company's weighted average shares outstanding for purposes of the calculation of earnings per share.</w:t>
      </w:r>
    </w:p>
    <w:p>
      <w:pPr>
        <w:spacing w:after="0" w:line="15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Company evaluated the ASR Agreements for their potential dilution of earnings per share and has determined that, based on calculations under the ASR Agreements, as of December 28, 2013, it would not be required to deliver additional shares to JPMorgan. Further, based on the volume-weighted average price calculated as of December 28, 2013, the Company would have received approximately one million shares had the ASR Agreements been settled on that date. The Company has determined that these shares would have had an anti-dilutive effect and has excluded these shares from the diluted earnings per share calculation for the fiscal year ended December 28, 2013.</w:t>
      </w:r>
    </w:p>
    <w:p>
      <w:pPr>
        <w:spacing w:after="0" w:line="210"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6"/>
          <w:szCs w:val="16"/>
          <w:color w:val="auto"/>
        </w:rPr>
        <w:t>Both of the ASR agreements were settled in January 2014 and approximately one million shares were received. As of the date of settlement of the ASR agreements, the Company had received a total of approximately 5.6 million shares under the ASR program.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 INFORMATION</w:t>
      </w:r>
    </w:p>
    <w:p>
      <w:pPr>
        <w:spacing w:after="0" w:line="20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6"/>
          <w:szCs w:val="16"/>
          <w:color w:val="auto"/>
        </w:rPr>
        <w:t>The Company reports segment information based upon a “management approach.” The management approach refers to the internal reporting that is used by management for making operating decisions and assessing the performance of the Company's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1400"/>
          </w:cols>
          <w:pgMar w:left="240" w:top="121" w:right="259" w:bottom="1440" w:gutter="0" w:footer="0" w:header="0"/>
        </w:sectPr>
      </w:pPr>
    </w:p>
    <w:bookmarkStart w:id="71" w:name="page72"/>
    <w:bookmarkEnd w:id="71"/>
    <w:p>
      <w:pPr>
        <w:ind w:left="5243"/>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left="3" w:right="240"/>
        <w:spacing w:after="0" w:line="288" w:lineRule="auto"/>
        <w:rPr>
          <w:sz w:val="20"/>
          <w:szCs w:val="20"/>
          <w:color w:val="auto"/>
        </w:rPr>
      </w:pPr>
      <w:r>
        <w:rPr>
          <w:rFonts w:ascii="Times New Roman" w:cs="Times New Roman" w:eastAsia="Times New Roman" w:hAnsi="Times New Roman"/>
          <w:sz w:val="16"/>
          <w:szCs w:val="16"/>
          <w:color w:val="auto"/>
        </w:rPr>
        <w:t>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43" w:lineRule="exact"/>
        <w:rPr>
          <w:sz w:val="20"/>
          <w:szCs w:val="20"/>
          <w:color w:val="auto"/>
        </w:rPr>
      </w:pPr>
    </w:p>
    <w:p>
      <w:pPr>
        <w:ind w:left="3"/>
        <w:spacing w:after="0" w:line="262" w:lineRule="auto"/>
        <w:rPr>
          <w:sz w:val="20"/>
          <w:szCs w:val="20"/>
          <w:color w:val="auto"/>
        </w:rPr>
      </w:pPr>
      <w:r>
        <w:rPr>
          <w:rFonts w:ascii="Times New Roman" w:cs="Times New Roman" w:eastAsia="Times New Roman" w:hAnsi="Times New Roman"/>
          <w:sz w:val="16"/>
          <w:szCs w:val="16"/>
          <w:color w:val="auto"/>
        </w:rPr>
        <w:t>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Note 2 to the consolidated financial statements. The Company's reportable segments are Carter's wholesale, Carter’s retail, OshKosh retail, OshKosh wholesale, and international.</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table below presents certain segment information for the periods indicated:</w:t>
      </w:r>
    </w:p>
    <w:p>
      <w:pPr>
        <w:spacing w:after="0" w:line="171" w:lineRule="exact"/>
        <w:rPr>
          <w:sz w:val="20"/>
          <w:szCs w:val="20"/>
          <w:color w:val="auto"/>
        </w:rPr>
      </w:pPr>
    </w:p>
    <w:tbl>
      <w:tblPr>
        <w:tblLayout w:type="fixed"/>
        <w:tblInd w:w="123"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For the fiscal years ended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28,</w:t>
            </w: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 of</w:t>
            </w: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of</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180" w:type="dxa"/>
            <w:vAlign w:val="bottom"/>
          </w:tcPr>
          <w:p>
            <w:pPr>
              <w:spacing w:after="0"/>
              <w:rPr>
                <w:sz w:val="16"/>
                <w:szCs w:val="16"/>
                <w:color w:val="auto"/>
              </w:rPr>
            </w:pPr>
          </w:p>
        </w:tc>
        <w:tc>
          <w:tcPr>
            <w:tcW w:w="1240" w:type="dxa"/>
            <w:vAlign w:val="bottom"/>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2013</w:t>
            </w:r>
          </w:p>
        </w:tc>
        <w:tc>
          <w:tcPr>
            <w:tcW w:w="120" w:type="dxa"/>
            <w:vAlign w:val="bottom"/>
          </w:tcPr>
          <w:p>
            <w:pPr>
              <w:spacing w:after="0"/>
              <w:rPr>
                <w:sz w:val="16"/>
                <w:szCs w:val="16"/>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spacing w:after="0"/>
              <w:rPr>
                <w:sz w:val="16"/>
                <w:szCs w:val="16"/>
                <w:color w:val="auto"/>
              </w:rPr>
            </w:pPr>
          </w:p>
        </w:tc>
        <w:tc>
          <w:tcPr>
            <w:tcW w:w="1260" w:type="dxa"/>
            <w:vAlign w:val="bottom"/>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2012</w:t>
            </w:r>
          </w:p>
        </w:tc>
        <w:tc>
          <w:tcPr>
            <w:tcW w:w="100" w:type="dxa"/>
            <w:vAlign w:val="bottom"/>
          </w:tcPr>
          <w:p>
            <w:pPr>
              <w:spacing w:after="0"/>
              <w:rPr>
                <w:sz w:val="16"/>
                <w:szCs w:val="16"/>
                <w:color w:val="auto"/>
              </w:rPr>
            </w:pP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spacing w:after="0"/>
              <w:rPr>
                <w:sz w:val="16"/>
                <w:szCs w:val="16"/>
                <w:color w:val="auto"/>
              </w:rPr>
            </w:pPr>
          </w:p>
        </w:tc>
        <w:tc>
          <w:tcPr>
            <w:tcW w:w="1240" w:type="dxa"/>
            <w:vAlign w:val="bottom"/>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2011</w:t>
            </w:r>
          </w:p>
        </w:tc>
        <w:tc>
          <w:tcPr>
            <w:tcW w:w="120" w:type="dxa"/>
            <w:vAlign w:val="bottom"/>
          </w:tcPr>
          <w:p>
            <w:pPr>
              <w:spacing w:after="0"/>
              <w:rPr>
                <w:sz w:val="16"/>
                <w:szCs w:val="16"/>
                <w:color w:val="auto"/>
              </w:rPr>
            </w:pPr>
          </w:p>
        </w:tc>
        <w:tc>
          <w:tcPr>
            <w:tcW w:w="1280" w:type="dxa"/>
            <w:vAlign w:val="bottom"/>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 of 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Carter’s Wholesale</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1,035,420</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39.2 %</w:t>
            </w:r>
          </w:p>
        </w:tc>
        <w:tc>
          <w:tcPr>
            <w:tcW w:w="220" w:type="dxa"/>
            <w:vAlign w:val="bottom"/>
          </w:tcPr>
          <w:p>
            <w:pPr>
              <w:spacing w:after="0"/>
              <w:rPr>
                <w:sz w:val="22"/>
                <w:szCs w:val="22"/>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981,445</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41.2 %</w:t>
            </w:r>
          </w:p>
        </w:tc>
        <w:tc>
          <w:tcPr>
            <w:tcW w:w="220" w:type="dxa"/>
            <w:vAlign w:val="bottom"/>
          </w:tcPr>
          <w:p>
            <w:pPr>
              <w:spacing w:after="0"/>
              <w:rPr>
                <w:sz w:val="22"/>
                <w:szCs w:val="22"/>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939,115</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44.5 %</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Carter’s Retail (a)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954,160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818,909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671,590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Carter’s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1,989,580</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75.4 %</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1,800,354</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75.6 %</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1,610,705</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76.3 %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OshKosh Retail (a)</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289,311</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283,343</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280,900</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OshKosh Wholesale</w:t>
            </w:r>
          </w:p>
        </w:tc>
        <w:tc>
          <w:tcPr>
            <w:tcW w:w="18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74,564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79,752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81,888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OshKosh</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363,875</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363,095</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362,788</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International (b)</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285,256</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218,285</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136,241</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net sales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2,638,711</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2,381,734</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2,109,734</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tbl>
      <w:tblPr>
        <w:tblLayout w:type="fixed"/>
        <w:tblInd w:w="123"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segment</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segment</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segment</w:t>
            </w:r>
          </w:p>
        </w:tc>
      </w:tr>
      <w:tr>
        <w:trPr>
          <w:trHeight w:val="160"/>
        </w:trPr>
        <w:tc>
          <w:tcPr>
            <w:tcW w:w="20" w:type="dxa"/>
            <w:vAlign w:val="bottom"/>
          </w:tcPr>
          <w:p>
            <w:pPr>
              <w:spacing w:after="0"/>
              <w:rPr>
                <w:sz w:val="13"/>
                <w:szCs w:val="13"/>
                <w:color w:val="auto"/>
              </w:rPr>
            </w:pPr>
          </w:p>
        </w:tc>
        <w:tc>
          <w:tcPr>
            <w:tcW w:w="224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Operating income (loss):</w:t>
            </w: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5"/>
                <w:szCs w:val="15"/>
                <w:b w:val="1"/>
                <w:bCs w:val="1"/>
                <w:color w:val="auto"/>
                <w:w w:val="96"/>
              </w:rPr>
              <w:t>net sales</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5"/>
                <w:szCs w:val="15"/>
                <w:b w:val="1"/>
                <w:bCs w:val="1"/>
                <w:color w:val="auto"/>
                <w:w w:val="96"/>
              </w:rPr>
              <w:t>net sales</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07"/>
              <w:spacing w:after="0" w:line="161" w:lineRule="exact"/>
              <w:rPr>
                <w:sz w:val="20"/>
                <w:szCs w:val="20"/>
                <w:color w:val="auto"/>
              </w:rPr>
            </w:pPr>
            <w:r>
              <w:rPr>
                <w:rFonts w:ascii="Times New Roman" w:cs="Times New Roman" w:eastAsia="Times New Roman" w:hAnsi="Times New Roman"/>
                <w:sz w:val="15"/>
                <w:szCs w:val="15"/>
                <w:b w:val="1"/>
                <w:bCs w:val="1"/>
                <w:color w:val="auto"/>
              </w:rPr>
              <w:t>net sales</w:t>
            </w:r>
          </w:p>
        </w:tc>
      </w:tr>
      <w:tr>
        <w:trPr>
          <w:trHeight w:val="41"/>
        </w:trPr>
        <w:tc>
          <w:tcPr>
            <w:tcW w:w="20" w:type="dxa"/>
            <w:vAlign w:val="bottom"/>
            <w:tcBorders>
              <w:bottom w:val="single" w:sz="8" w:color="CCEEFF"/>
            </w:tcBorders>
          </w:tcPr>
          <w:p>
            <w:pPr>
              <w:spacing w:after="0"/>
              <w:rPr>
                <w:sz w:val="3"/>
                <w:szCs w:val="3"/>
                <w:color w:val="auto"/>
              </w:rPr>
            </w:pPr>
          </w:p>
        </w:tc>
        <w:tc>
          <w:tcPr>
            <w:tcW w:w="1480" w:type="dxa"/>
            <w:vAlign w:val="bottom"/>
            <w:tcBorders>
              <w:top w:val="single" w:sz="8" w:color="auto"/>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Carter’s Wholesale</w:t>
            </w:r>
          </w:p>
        </w:tc>
        <w:tc>
          <w:tcPr>
            <w:tcW w:w="44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185,501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17.9 %</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172,673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17.6 %</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117,897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12.6 %</w:t>
            </w:r>
          </w:p>
        </w:tc>
      </w:tr>
      <w:tr>
        <w:trPr>
          <w:trHeight w:val="214"/>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Carter’s Retail (a)</w:t>
            </w:r>
          </w:p>
        </w:tc>
        <w:tc>
          <w:tcPr>
            <w:tcW w:w="44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181,169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19.0 %</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145,940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17.8 %</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105,818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15.8 %</w:t>
            </w:r>
          </w:p>
        </w:tc>
      </w:tr>
      <w:tr>
        <w:trPr>
          <w:trHeight w:val="29"/>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Carter’s</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366,670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18.4 %</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318,613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223,715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13.9 %</w:t>
            </w:r>
          </w:p>
        </w:tc>
      </w:tr>
      <w:tr>
        <w:trPr>
          <w:trHeight w:val="194"/>
        </w:trPr>
        <w:tc>
          <w:tcPr>
            <w:tcW w:w="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OshKosh Retail (a)</w:t>
            </w: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9"/>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OshKosh Wholesale</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9,796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4,086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822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194"/>
        </w:trPr>
        <w:tc>
          <w:tcPr>
            <w:tcW w:w="20" w:type="dxa"/>
            <w:vAlign w:val="bottom"/>
          </w:tcPr>
          <w:p>
            <w:pPr>
              <w:spacing w:after="0"/>
              <w:rPr>
                <w:sz w:val="16"/>
                <w:szCs w:val="16"/>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Total OshKosh</w:t>
            </w: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8,363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9"/>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International (b) (c)</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40,641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14.2 %</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43,376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19.9 %</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27,273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20.0 %</w:t>
            </w:r>
          </w:p>
        </w:tc>
      </w:tr>
      <w:tr>
        <w:trPr>
          <w:trHeight w:val="194"/>
        </w:trPr>
        <w:tc>
          <w:tcPr>
            <w:tcW w:w="20" w:type="dxa"/>
            <w:vAlign w:val="bottom"/>
          </w:tcPr>
          <w:p>
            <w:pPr>
              <w:spacing w:after="0"/>
              <w:rPr>
                <w:sz w:val="16"/>
                <w:szCs w:val="16"/>
                <w:color w:val="auto"/>
              </w:rPr>
            </w:pP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9"/>
              </w:rPr>
              <w:t>Total segment operating income</w:t>
            </w: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415,674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15.8 %</w:t>
            </w: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358,323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15.0 %</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242,152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11.5 %</w:t>
            </w:r>
          </w:p>
        </w:tc>
      </w:tr>
      <w:tr>
        <w:trPr>
          <w:trHeight w:val="29"/>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expenses (d) (e) (f)</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(151,523)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(96,337)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(54,686)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16"/>
        </w:trPr>
        <w:tc>
          <w:tcPr>
            <w:tcW w:w="20" w:type="dxa"/>
            <w:vAlign w:val="bottom"/>
          </w:tcPr>
          <w:p>
            <w:pPr>
              <w:spacing w:after="0"/>
              <w:rPr>
                <w:sz w:val="18"/>
                <w:szCs w:val="18"/>
                <w:color w:val="auto"/>
              </w:rPr>
            </w:pP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operating income</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264,151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261,986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187,466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8.9 %</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3" w:lineRule="exact"/>
        <w:rPr>
          <w:sz w:val="20"/>
          <w:szCs w:val="20"/>
          <w:color w:val="auto"/>
        </w:rPr>
      </w:pPr>
    </w:p>
    <w:p>
      <w:pPr>
        <w:ind w:left="283" w:hanging="283"/>
        <w:spacing w:after="0"/>
        <w:tabs>
          <w:tab w:leader="none" w:pos="28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eCommerce results.</w:t>
      </w:r>
    </w:p>
    <w:p>
      <w:pPr>
        <w:spacing w:after="0" w:line="13" w:lineRule="exact"/>
        <w:rPr>
          <w:rFonts w:ascii="Times New Roman" w:cs="Times New Roman" w:eastAsia="Times New Roman" w:hAnsi="Times New Roman"/>
          <w:sz w:val="15"/>
          <w:szCs w:val="15"/>
          <w:color w:val="auto"/>
        </w:rPr>
      </w:pPr>
    </w:p>
    <w:p>
      <w:pPr>
        <w:ind w:left="283" w:hanging="283"/>
        <w:spacing w:after="0"/>
        <w:tabs>
          <w:tab w:leader="none" w:pos="28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sales include international retail, eCommerce, and wholesale sales. Operating income includes international licensing income.</w:t>
      </w:r>
    </w:p>
    <w:p>
      <w:pPr>
        <w:spacing w:after="0" w:line="1" w:lineRule="exact"/>
        <w:rPr>
          <w:rFonts w:ascii="Times New Roman" w:cs="Times New Roman" w:eastAsia="Times New Roman" w:hAnsi="Times New Roman"/>
          <w:sz w:val="15"/>
          <w:szCs w:val="15"/>
          <w:color w:val="auto"/>
        </w:rPr>
      </w:pPr>
    </w:p>
    <w:p>
      <w:pPr>
        <w:ind w:left="283" w:hanging="283"/>
        <w:spacing w:after="0"/>
        <w:tabs>
          <w:tab w:leader="none" w:pos="28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charge of $6.7 million for the fiscal year ended December 31, 2011 related to the amortization of the fair value step-up for Bonnie Togs inventory acquired. Includes charges of</w:t>
      </w:r>
    </w:p>
    <w:p>
      <w:pPr>
        <w:spacing w:after="0" w:line="26" w:lineRule="exact"/>
        <w:rPr>
          <w:rFonts w:ascii="Times New Roman" w:cs="Times New Roman" w:eastAsia="Times New Roman" w:hAnsi="Times New Roman"/>
          <w:sz w:val="14"/>
          <w:szCs w:val="14"/>
          <w:color w:val="auto"/>
        </w:rPr>
      </w:pPr>
    </w:p>
    <w:p>
      <w:pPr>
        <w:ind w:left="283" w:right="6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$2.8 million and $3.6 million for the fiscal years ended December 28, 2013 and December 29, 2012, respectively, associated with the revaluation of the Company’s contingent consideration. Includes a charge of $4.1 million for the fiscal year ended December 28, 2013, related to the Company's exit from retail operations in Japan.</w:t>
      </w:r>
    </w:p>
    <w:p>
      <w:pPr>
        <w:spacing w:after="0" w:line="1" w:lineRule="exact"/>
        <w:rPr>
          <w:rFonts w:ascii="Times New Roman" w:cs="Times New Roman" w:eastAsia="Times New Roman" w:hAnsi="Times New Roman"/>
          <w:sz w:val="14"/>
          <w:szCs w:val="14"/>
          <w:color w:val="auto"/>
        </w:rPr>
      </w:pPr>
    </w:p>
    <w:p>
      <w:pPr>
        <w:ind w:left="283" w:right="80" w:hanging="283"/>
        <w:spacing w:after="0" w:line="243" w:lineRule="auto"/>
        <w:tabs>
          <w:tab w:leader="none" w:pos="28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expenses generally include expenses related to incentive compensation, stock-based compensation, executive management, severance and relocation, finance, building occupancy, information technology, certain legal fees, consulting, and audit fees.</w:t>
      </w:r>
    </w:p>
    <w:p>
      <w:pPr>
        <w:ind w:left="283" w:hanging="283"/>
        <w:spacing w:after="0" w:line="237" w:lineRule="auto"/>
        <w:tabs>
          <w:tab w:leader="none" w:pos="28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 million of professional service fees associated with the acquisition of Bonnie Togs during the fiscal year ended December 31, 2011.</w:t>
      </w:r>
    </w:p>
    <w:p>
      <w:pPr>
        <w:ind w:left="183" w:hanging="183"/>
        <w:spacing w:after="0"/>
        <w:tabs>
          <w:tab w:leader="none" w:pos="18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following charges:</w:t>
      </w:r>
    </w:p>
    <w:p>
      <w:pPr>
        <w:spacing w:after="0" w:line="19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423"/>
          </w:cols>
          <w:pgMar w:left="237" w:top="121" w:right="239" w:bottom="1440" w:gutter="0" w:footer="0" w:header="0"/>
        </w:sectPr>
      </w:pPr>
    </w:p>
    <w:bookmarkStart w:id="72" w:name="page73"/>
    <w:bookmarkEnd w:id="7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jc w:val="right"/>
              <w:ind w:right="742"/>
              <w:spacing w:after="0"/>
              <w:rPr>
                <w:sz w:val="20"/>
                <w:szCs w:val="20"/>
                <w:color w:val="auto"/>
              </w:rPr>
            </w:pPr>
            <w:r>
              <w:rPr>
                <w:rFonts w:ascii="Times New Roman" w:cs="Times New Roman" w:eastAsia="Times New Roman" w:hAnsi="Times New Roman"/>
                <w:sz w:val="15"/>
                <w:szCs w:val="15"/>
                <w:b w:val="1"/>
                <w:bCs w:val="1"/>
                <w:color w:val="auto"/>
              </w:rPr>
              <w:t>For the fiscal years ended</w:t>
            </w:r>
          </w:p>
        </w:tc>
        <w:tc>
          <w:tcPr>
            <w:tcW w:w="60" w:type="dxa"/>
            <w:vAlign w:val="bottom"/>
          </w:tcPr>
          <w:p>
            <w:pPr>
              <w:spacing w:after="0"/>
              <w:rPr>
                <w:sz w:val="16"/>
                <w:szCs w:val="16"/>
                <w:color w:val="auto"/>
              </w:rPr>
            </w:pPr>
          </w:p>
        </w:tc>
      </w:tr>
      <w:tr>
        <w:trPr>
          <w:trHeight w:val="29"/>
        </w:trPr>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7"/>
              </w:rPr>
              <w:t>December 28, 2013</w:t>
            </w:r>
          </w:p>
        </w:tc>
        <w:tc>
          <w:tcPr>
            <w:tcW w:w="240" w:type="dxa"/>
            <w:vAlign w:val="bottom"/>
          </w:tcPr>
          <w:p>
            <w:pPr>
              <w:spacing w:after="0"/>
              <w:rPr>
                <w:sz w:val="17"/>
                <w:szCs w:val="17"/>
                <w:color w:val="auto"/>
              </w:rPr>
            </w:pPr>
          </w:p>
        </w:tc>
        <w:tc>
          <w:tcPr>
            <w:tcW w:w="1540" w:type="dxa"/>
            <w:vAlign w:val="bottom"/>
          </w:tcPr>
          <w:p>
            <w:pPr>
              <w:jc w:val="right"/>
              <w:ind w:right="162"/>
              <w:spacing w:after="0"/>
              <w:rPr>
                <w:sz w:val="20"/>
                <w:szCs w:val="20"/>
                <w:color w:val="auto"/>
              </w:rPr>
            </w:pPr>
            <w:r>
              <w:rPr>
                <w:rFonts w:ascii="Times New Roman" w:cs="Times New Roman" w:eastAsia="Times New Roman" w:hAnsi="Times New Roman"/>
                <w:sz w:val="15"/>
                <w:szCs w:val="15"/>
                <w:b w:val="1"/>
                <w:bCs w:val="1"/>
                <w:color w:val="auto"/>
              </w:rPr>
              <w:t>December 29, 2012</w:t>
            </w:r>
          </w:p>
        </w:tc>
        <w:tc>
          <w:tcPr>
            <w:tcW w:w="60" w:type="dxa"/>
            <w:vAlign w:val="bottom"/>
          </w:tcPr>
          <w:p>
            <w:pPr>
              <w:spacing w:after="0"/>
              <w:rPr>
                <w:sz w:val="17"/>
                <w:szCs w:val="17"/>
                <w:color w:val="auto"/>
              </w:rPr>
            </w:pPr>
          </w:p>
        </w:tc>
      </w:tr>
      <w:tr>
        <w:trPr>
          <w:trHeight w:val="29"/>
        </w:trPr>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Office consolidation costs</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60" w:type="dxa"/>
            <w:vAlign w:val="bottom"/>
          </w:tcPr>
          <w:p>
            <w:pPr>
              <w:spacing w:after="0"/>
              <w:rPr>
                <w:sz w:val="19"/>
                <w:szCs w:val="19"/>
                <w:color w:val="auto"/>
              </w:rPr>
            </w:pPr>
          </w:p>
        </w:tc>
      </w:tr>
      <w:tr>
        <w:trPr>
          <w:trHeight w:val="214"/>
        </w:trPr>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Amortization of H.W. Carter and Sons tradenames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r>
      <w:tr>
        <w:trPr>
          <w:trHeight w:val="29"/>
        </w:trPr>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Closure of distribution facility in Hogansville, GA</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60" w:type="dxa"/>
            <w:vAlign w:val="bottom"/>
          </w:tcPr>
          <w:p>
            <w:pPr>
              <w:spacing w:after="0"/>
              <w:rPr>
                <w:sz w:val="19"/>
                <w:szCs w:val="19"/>
                <w:color w:val="auto"/>
              </w:rPr>
            </w:pPr>
          </w:p>
        </w:tc>
      </w:tr>
      <w:tr>
        <w:trPr>
          <w:trHeight w:val="365"/>
        </w:trPr>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ADDITIONAL DATA BY SEGMENT</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0"/>
        </w:trPr>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Inventory</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0"/>
        </w:trPr>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table below represents inventory, net, by segment:</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1"/>
        </w:trPr>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60" w:type="dxa"/>
            <w:vAlign w:val="bottom"/>
          </w:tcPr>
          <w:p>
            <w:pPr>
              <w:spacing w:after="0"/>
              <w:rPr>
                <w:sz w:val="24"/>
                <w:szCs w:val="24"/>
                <w:color w:val="auto"/>
              </w:rPr>
            </w:pPr>
          </w:p>
        </w:tc>
      </w:tr>
      <w:tr>
        <w:trPr>
          <w:trHeight w:val="25"/>
        </w:trPr>
        <w:tc>
          <w:tcPr>
            <w:tcW w:w="21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1"/>
        </w:trPr>
        <w:tc>
          <w:tcPr>
            <w:tcW w:w="218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178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240" w:type="dxa"/>
            <w:vAlign w:val="bottom"/>
          </w:tcPr>
          <w:p>
            <w:pPr>
              <w:spacing w:after="0"/>
              <w:rPr>
                <w:sz w:val="18"/>
                <w:szCs w:val="18"/>
                <w:color w:val="auto"/>
              </w:rPr>
            </w:pPr>
          </w:p>
        </w:tc>
        <w:tc>
          <w:tcPr>
            <w:tcW w:w="15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60" w:type="dxa"/>
            <w:vAlign w:val="bottom"/>
          </w:tcPr>
          <w:p>
            <w:pPr>
              <w:spacing w:after="0"/>
              <w:rPr>
                <w:sz w:val="18"/>
                <w:szCs w:val="18"/>
                <w:color w:val="auto"/>
              </w:rPr>
            </w:pPr>
          </w:p>
        </w:tc>
      </w:tr>
      <w:tr>
        <w:trPr>
          <w:trHeight w:val="25"/>
        </w:trPr>
        <w:tc>
          <w:tcPr>
            <w:tcW w:w="21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1"/>
        </w:trPr>
        <w:tc>
          <w:tcPr>
            <w:tcW w:w="218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Carter's Wholesale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191,988</w:t>
            </w:r>
          </w:p>
        </w:tc>
        <w:tc>
          <w:tcPr>
            <w:tcW w:w="60" w:type="dxa"/>
            <w:vAlign w:val="bottom"/>
          </w:tcPr>
          <w:p>
            <w:pPr>
              <w:spacing w:after="0"/>
              <w:rPr>
                <w:sz w:val="18"/>
                <w:szCs w:val="18"/>
                <w:color w:val="auto"/>
              </w:rPr>
            </w:pPr>
          </w:p>
        </w:tc>
      </w:tr>
      <w:tr>
        <w:trPr>
          <w:trHeight w:val="25"/>
        </w:trPr>
        <w:tc>
          <w:tcPr>
            <w:tcW w:w="21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180" w:type="dxa"/>
            <w:vAlign w:val="bottom"/>
          </w:tcPr>
          <w:p>
            <w:pPr>
              <w:spacing w:after="0"/>
              <w:rPr>
                <w:sz w:val="19"/>
                <w:szCs w:val="19"/>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Carter's Retail</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8"/>
        </w:trPr>
        <w:tc>
          <w:tcPr>
            <w:tcW w:w="218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OshKosh Retail</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23,914</w:t>
            </w:r>
          </w:p>
        </w:tc>
        <w:tc>
          <w:tcPr>
            <w:tcW w:w="60" w:type="dxa"/>
            <w:vAlign w:val="bottom"/>
          </w:tcPr>
          <w:p>
            <w:pPr>
              <w:spacing w:after="0"/>
              <w:rPr>
                <w:sz w:val="18"/>
                <w:szCs w:val="18"/>
                <w:color w:val="auto"/>
              </w:rPr>
            </w:pPr>
          </w:p>
        </w:tc>
      </w:tr>
      <w:tr>
        <w:trPr>
          <w:trHeight w:val="25"/>
        </w:trPr>
        <w:tc>
          <w:tcPr>
            <w:tcW w:w="218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180" w:type="dxa"/>
            <w:vAlign w:val="bottom"/>
          </w:tcPr>
          <w:p>
            <w:pPr>
              <w:spacing w:after="0"/>
              <w:rPr>
                <w:sz w:val="19"/>
                <w:szCs w:val="19"/>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OshKosh Wholesale</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8"/>
        </w:trPr>
        <w:tc>
          <w:tcPr>
            <w:tcW w:w="218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36,276</w:t>
            </w:r>
          </w:p>
        </w:tc>
        <w:tc>
          <w:tcPr>
            <w:tcW w:w="60" w:type="dxa"/>
            <w:vAlign w:val="bottom"/>
          </w:tcPr>
          <w:p>
            <w:pPr>
              <w:spacing w:after="0"/>
              <w:rPr>
                <w:sz w:val="18"/>
                <w:szCs w:val="18"/>
                <w:color w:val="auto"/>
              </w:rPr>
            </w:pPr>
          </w:p>
        </w:tc>
      </w:tr>
      <w:tr>
        <w:trPr>
          <w:trHeight w:val="25"/>
        </w:trPr>
        <w:tc>
          <w:tcPr>
            <w:tcW w:w="2180" w:type="dxa"/>
            <w:vAlign w:val="bottom"/>
          </w:tcPr>
          <w:p>
            <w:pPr>
              <w:spacing w:after="0"/>
              <w:rPr>
                <w:sz w:val="2"/>
                <w:szCs w:val="2"/>
                <w:color w:val="auto"/>
              </w:rPr>
            </w:pPr>
          </w:p>
        </w:tc>
        <w:tc>
          <w:tcPr>
            <w:tcW w:w="32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9"/>
        </w:trPr>
        <w:tc>
          <w:tcPr>
            <w:tcW w:w="2180" w:type="dxa"/>
            <w:vAlign w:val="bottom"/>
          </w:tcPr>
          <w:p>
            <w:pPr>
              <w:spacing w:after="0"/>
              <w:rPr>
                <w:sz w:val="19"/>
                <w:szCs w:val="19"/>
                <w:color w:val="auto"/>
              </w:rPr>
            </w:pPr>
          </w:p>
        </w:tc>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417,754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349,530</w:t>
            </w:r>
          </w:p>
        </w:tc>
        <w:tc>
          <w:tcPr>
            <w:tcW w:w="60" w:type="dxa"/>
            <w:vAlign w:val="bottom"/>
            <w:tcBorders>
              <w:bottom w:val="single" w:sz="8" w:color="auto"/>
            </w:tcBorders>
            <w:shd w:val="clear" w:color="auto" w:fill="CCEEFF"/>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Wholesale inventories include inventory produced and warehoused for the retail segment.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GEOGRAPHICAL DATA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international sales principally represent sales to customers in Canada. Such sales were 65.4% and 68.8% of total international sales in fiscal 2013 and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Long-Lived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0"/>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represents property, plant, and equipment, net, by geographic area:</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22"/>
        </w:trPr>
        <w:tc>
          <w:tcPr>
            <w:tcW w:w="21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r>
        <w:trPr>
          <w:trHeight w:val="211"/>
        </w:trPr>
        <w:tc>
          <w:tcPr>
            <w:tcW w:w="21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218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6"/>
        </w:trPr>
        <w:tc>
          <w:tcPr>
            <w:tcW w:w="218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149,357</w:t>
            </w:r>
          </w:p>
        </w:tc>
      </w:tr>
      <w:tr>
        <w:trPr>
          <w:trHeight w:val="218"/>
        </w:trPr>
        <w:tc>
          <w:tcPr>
            <w:tcW w:w="21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20,753</w:t>
            </w:r>
          </w:p>
        </w:tc>
      </w:tr>
      <w:tr>
        <w:trPr>
          <w:trHeight w:val="25"/>
        </w:trPr>
        <w:tc>
          <w:tcPr>
            <w:tcW w:w="218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9"/>
        </w:trPr>
        <w:tc>
          <w:tcPr>
            <w:tcW w:w="218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170,110</w:t>
            </w:r>
          </w:p>
        </w:tc>
      </w:tr>
      <w:tr>
        <w:trPr>
          <w:trHeight w:val="20"/>
        </w:trPr>
        <w:tc>
          <w:tcPr>
            <w:tcW w:w="2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Long-lived assets in the international segment relate principally to Canada. Long-lived assets in Canada were 91.8% and 94.0% of total international long-lived assets at the end of fiscal 2013 and 2012.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FAIR VALUE MEASUREMENTS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assets and liabilities measured at fair value on a recurring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center"/>
              <w:ind w:left="503"/>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7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left="483"/>
              <w:spacing w:after="0"/>
              <w:rPr>
                <w:sz w:val="20"/>
                <w:szCs w:val="20"/>
                <w:color w:val="auto"/>
              </w:rPr>
            </w:pPr>
            <w:r>
              <w:rPr>
                <w:rFonts w:ascii="Times New Roman" w:cs="Times New Roman" w:eastAsia="Times New Roman" w:hAnsi="Times New Roman"/>
                <w:sz w:val="16"/>
                <w:szCs w:val="16"/>
                <w:b w:val="1"/>
                <w:bCs w:val="1"/>
                <w:color w:val="auto"/>
              </w:rPr>
              <w:t>December 29, 2012</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8"/>
                <w:szCs w:val="18"/>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8"/>
                <w:szCs w:val="18"/>
                <w:color w:val="auto"/>
              </w:rPr>
            </w:pPr>
          </w:p>
        </w:tc>
        <w:tc>
          <w:tcPr>
            <w:tcW w:w="6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0" w:type="dxa"/>
            <w:vAlign w:val="bottom"/>
          </w:tcPr>
          <w:p>
            <w:pPr>
              <w:spacing w:after="0"/>
              <w:rPr>
                <w:sz w:val="1"/>
                <w:szCs w:val="1"/>
                <w:color w:val="auto"/>
              </w:rPr>
            </w:pPr>
          </w:p>
        </w:tc>
      </w:tr>
      <w:tr>
        <w:trPr>
          <w:trHeight w:val="25"/>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413"/>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w w:val="99"/>
              </w:rPr>
              <w:t>70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21" w:right="479" w:bottom="1440" w:gutter="0" w:footer="0" w:header="0"/>
        </w:sectPr>
      </w:pPr>
    </w:p>
    <w:bookmarkStart w:id="73" w:name="page74"/>
    <w:bookmarkEnd w:id="7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20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Beginning in fiscal 2012, the Company invests in marketable securities, principally equity based mutual funds, to mitigate the risk associated with the investment return on employee deferrals of compensation. All of the marketable securities purchased are included in other assets on the accompanying audited consolidated balance sheet. During fiscal 2013, gain on the mark to market of marketable securities was $0.5 million.</w:t>
      </w:r>
    </w:p>
    <w:p>
      <w:pPr>
        <w:spacing w:after="0" w:line="156"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The fair value of the Company's pension plan assets at December 28, 2013 and December 29, 2012, by asset category, are disclosed in the employee benefit plans footnote to the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significant unobservable inputs for the Company's Level 3 fair value measurements at December 28, 2013: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(USD)</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(CAD)</w:t>
            </w:r>
          </w:p>
        </w:tc>
      </w:tr>
      <w:tr>
        <w:trPr>
          <w:trHeight w:val="25"/>
        </w:trPr>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contingent consideration payment</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8"/>
        </w:trPr>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Probability assumption</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5"/>
        </w:trPr>
        <w:tc>
          <w:tcPr>
            <w:tcW w:w="2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BORROWINGS</w:t>
      </w:r>
    </w:p>
    <w:p>
      <w:pPr>
        <w:spacing w:after="0" w:line="20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6"/>
          <w:szCs w:val="16"/>
          <w:color w:val="auto"/>
        </w:rPr>
        <w:t>As of December 28, 2013, the Level 2 fair value of the Company's $186.0 million in borrowings under its secured revolving credit facility approximated carrying value. The Level 2 fair value of the Company's $400.0 million in senior notes outstanding was approximately $407.0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15 – OTHER CURRENT AND LONG-TERM LIABILITIES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0"/>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consisted of the following:</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1"/>
        </w:trPr>
        <w:tc>
          <w:tcPr>
            <w:tcW w:w="8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80" w:type="dxa"/>
            <w:vAlign w:val="bottom"/>
          </w:tcPr>
          <w:p>
            <w:pPr>
              <w:spacing w:after="0"/>
              <w:rPr>
                <w:sz w:val="24"/>
                <w:szCs w:val="24"/>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8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8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19,579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30,541</w:t>
            </w:r>
          </w:p>
        </w:tc>
      </w:tr>
      <w:tr>
        <w:trPr>
          <w:trHeight w:val="218"/>
        </w:trPr>
        <w:tc>
          <w:tcPr>
            <w:tcW w:w="82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14,442</w:t>
            </w:r>
          </w:p>
        </w:tc>
      </w:tr>
      <w:tr>
        <w:trPr>
          <w:trHeight w:val="25"/>
        </w:trPr>
        <w:tc>
          <w:tcPr>
            <w:tcW w:w="8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8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workers' compensation</w:t>
            </w: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5,446</w:t>
            </w:r>
          </w:p>
        </w:tc>
      </w:tr>
      <w:tr>
        <w:trPr>
          <w:trHeight w:val="218"/>
        </w:trPr>
        <w:tc>
          <w:tcPr>
            <w:tcW w:w="82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sales and use taxes</w:t>
            </w: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5,402</w:t>
            </w:r>
          </w:p>
        </w:tc>
      </w:tr>
      <w:tr>
        <w:trPr>
          <w:trHeight w:val="25"/>
        </w:trPr>
        <w:tc>
          <w:tcPr>
            <w:tcW w:w="8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8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7,609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5,517</w:t>
            </w:r>
          </w:p>
        </w:tc>
      </w:tr>
      <w:tr>
        <w:trPr>
          <w:trHeight w:val="218"/>
        </w:trPr>
        <w:tc>
          <w:tcPr>
            <w:tcW w:w="82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gift certificates</w:t>
            </w: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6,011</w:t>
            </w:r>
          </w:p>
        </w:tc>
      </w:tr>
      <w:tr>
        <w:trPr>
          <w:trHeight w:val="25"/>
        </w:trPr>
        <w:tc>
          <w:tcPr>
            <w:tcW w:w="8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8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401(k) contributions</w:t>
            </w: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6,200</w:t>
            </w:r>
          </w:p>
        </w:tc>
      </w:tr>
      <w:tr>
        <w:trPr>
          <w:trHeight w:val="218"/>
        </w:trPr>
        <w:tc>
          <w:tcPr>
            <w:tcW w:w="82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closure costs</w:t>
            </w: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4,251</w:t>
            </w:r>
          </w:p>
        </w:tc>
      </w:tr>
      <w:tr>
        <w:trPr>
          <w:trHeight w:val="25"/>
        </w:trPr>
        <w:tc>
          <w:tcPr>
            <w:tcW w:w="8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4"/>
        </w:trPr>
        <w:tc>
          <w:tcPr>
            <w:tcW w:w="8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16,800</w:t>
            </w:r>
          </w:p>
        </w:tc>
      </w:tr>
      <w:tr>
        <w:trPr>
          <w:trHeight w:val="229"/>
        </w:trPr>
        <w:tc>
          <w:tcPr>
            <w:tcW w:w="82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105,129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94,610</w:t>
            </w: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liabilities consisted of the following: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440"/>
          </w:cols>
          <w:pgMar w:left="240" w:top="121" w:right="219" w:bottom="1440" w:gutter="0" w:footer="0" w:header="0"/>
        </w:sectPr>
      </w:pPr>
    </w:p>
    <w:bookmarkStart w:id="74" w:name="page75"/>
    <w:bookmarkEnd w:id="74"/>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tbl>
      <w:tblPr>
        <w:tblLayout w:type="fixed"/>
        <w:tblInd w:w="820" w:type="dxa"/>
        <w:tblCellMar>
          <w:top w:w="0" w:type="dxa"/>
          <w:left w:w="0" w:type="dxa"/>
          <w:bottom w:w="0" w:type="dxa"/>
          <w:right w:w="0" w:type="dxa"/>
        </w:tblCellMar>
      </w:tblPr>
      <w:tr>
        <w:trPr>
          <w:trHeight w:val="213"/>
        </w:trPr>
        <w:tc>
          <w:tcPr>
            <w:tcW w:w="2120" w:type="dxa"/>
            <w:vAlign w:val="bottom"/>
          </w:tcPr>
          <w:p>
            <w:pPr>
              <w:spacing w:after="0"/>
              <w:rPr>
                <w:sz w:val="18"/>
                <w:szCs w:val="18"/>
                <w:color w:val="auto"/>
              </w:rPr>
            </w:pPr>
          </w:p>
        </w:tc>
        <w:tc>
          <w:tcPr>
            <w:tcW w:w="59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73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80" w:type="dxa"/>
            <w:vAlign w:val="bottom"/>
          </w:tcPr>
          <w:p>
            <w:pPr>
              <w:spacing w:after="0"/>
              <w:rPr>
                <w:sz w:val="24"/>
                <w:szCs w:val="24"/>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21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4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68,876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29,913</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rent</w:t>
            </w: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20,485</w:t>
            </w:r>
          </w:p>
        </w:tc>
      </w:tr>
      <w:tr>
        <w:trPr>
          <w:trHeight w:val="25"/>
        </w:trPr>
        <w:tc>
          <w:tcPr>
            <w:tcW w:w="2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4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15,262</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OshKosh pension plan</w:t>
            </w: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13,557</w:t>
            </w:r>
          </w:p>
        </w:tc>
      </w:tr>
      <w:tr>
        <w:trPr>
          <w:trHeight w:val="25"/>
        </w:trPr>
        <w:tc>
          <w:tcPr>
            <w:tcW w:w="2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4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10,479</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medical plan</w:t>
            </w: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6,201</w:t>
            </w:r>
          </w:p>
        </w:tc>
      </w:tr>
      <w:tr>
        <w:trPr>
          <w:trHeight w:val="25"/>
        </w:trPr>
        <w:tc>
          <w:tcPr>
            <w:tcW w:w="2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4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3,996</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25"/>
        </w:trPr>
        <w:tc>
          <w:tcPr>
            <w:tcW w:w="21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135,180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100,054</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FACILITY 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HOGANSVILLE DISTRIBUTION FACILITY</w:t>
      </w:r>
    </w:p>
    <w:p>
      <w:pPr>
        <w:spacing w:after="0" w:line="208" w:lineRule="exact"/>
        <w:rPr>
          <w:sz w:val="20"/>
          <w:szCs w:val="20"/>
          <w:color w:val="auto"/>
        </w:rPr>
      </w:pPr>
    </w:p>
    <w:p>
      <w:pPr>
        <w:jc w:val="both"/>
        <w:ind w:right="680"/>
        <w:spacing w:after="0" w:line="288" w:lineRule="auto"/>
        <w:rPr>
          <w:sz w:val="20"/>
          <w:szCs w:val="20"/>
          <w:color w:val="auto"/>
        </w:rPr>
      </w:pPr>
      <w:r>
        <w:rPr>
          <w:rFonts w:ascii="Times New Roman" w:cs="Times New Roman" w:eastAsia="Times New Roman" w:hAnsi="Times New Roman"/>
          <w:sz w:val="16"/>
          <w:szCs w:val="16"/>
          <w:color w:val="auto"/>
        </w:rPr>
        <w:t>On March 14, 2012, the Company announced to affected employees its plan to close the Hogansville facility, consistent with the Company's strategy to strengthen its distribution capabilities and open a new, larger multi-channel distribution facility in Braselton, Georgia. Approximately 210 employees were affected by the closure.</w:t>
      </w:r>
    </w:p>
    <w:p>
      <w:pPr>
        <w:spacing w:after="0" w:line="143"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6"/>
          <w:szCs w:val="16"/>
          <w:color w:val="auto"/>
        </w:rPr>
        <w:t>In conjunction with the plan to close the Hogansville distribution facility, the Company recorded expense of approximately $1.9 million and $3.1 million in closing-related costs during the fiscal year ended December 28, 2013 and December 29, 2012,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amount of charges was included in selling, general, and administrative expenses and consisted of the following components:</w:t>
      </w:r>
    </w:p>
    <w:p>
      <w:pPr>
        <w:spacing w:after="0" w:line="155" w:lineRule="exact"/>
        <w:rPr>
          <w:sz w:val="20"/>
          <w:szCs w:val="20"/>
          <w:color w:val="auto"/>
        </w:rPr>
      </w:pPr>
    </w:p>
    <w:tbl>
      <w:tblPr>
        <w:tblLayout w:type="fixed"/>
        <w:tblInd w:w="264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c>
          <w:tcPr>
            <w:tcW w:w="440" w:type="dxa"/>
            <w:vAlign w:val="bottom"/>
          </w:tcPr>
          <w:p>
            <w:pPr>
              <w:spacing w:after="0"/>
              <w:rPr>
                <w:sz w:val="18"/>
                <w:szCs w:val="18"/>
                <w:color w:val="auto"/>
              </w:rPr>
            </w:pPr>
          </w:p>
        </w:tc>
      </w:tr>
      <w:tr>
        <w:trPr>
          <w:trHeight w:val="25"/>
        </w:trPr>
        <w:tc>
          <w:tcPr>
            <w:tcW w:w="3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millions)</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1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3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1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5"/>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depreciation</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14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closure costs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1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
        </w:trPr>
        <w:tc>
          <w:tcPr>
            <w:tcW w:w="3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6"/>
          <w:szCs w:val="16"/>
          <w:color w:val="auto"/>
        </w:rPr>
        <w:t>The following table summarizes restructuring reserves related to the closure of the Hogansville facility which are included in other current liabilities in the accompanying audited consolidated balance sheet:</w:t>
      </w:r>
    </w:p>
    <w:p>
      <w:pPr>
        <w:spacing w:after="0" w:line="92" w:lineRule="exact"/>
        <w:rPr>
          <w:sz w:val="20"/>
          <w:szCs w:val="20"/>
          <w:color w:val="auto"/>
        </w:rPr>
      </w:pPr>
    </w:p>
    <w:tbl>
      <w:tblPr>
        <w:tblLayout w:type="fixed"/>
        <w:tblInd w:w="1180" w:type="dxa"/>
        <w:tblCellMar>
          <w:top w:w="0" w:type="dxa"/>
          <w:left w:w="0" w:type="dxa"/>
          <w:bottom w:w="0" w:type="dxa"/>
          <w:right w:w="0" w:type="dxa"/>
        </w:tblCellMar>
      </w:tblP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 closure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
        </w:trPr>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2012</w:t>
            </w:r>
          </w:p>
        </w:tc>
        <w:tc>
          <w:tcPr>
            <w:tcW w:w="3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w:t>
            </w:r>
          </w:p>
        </w:tc>
        <w:tc>
          <w:tcPr>
            <w:tcW w:w="3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5"/>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2013</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0"/>
        </w:trPr>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under the accruals as of December 28, 2013, are expected to be paid in the first quarter of fiscal 2014.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OFFICE CONSOLIDATION</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On October 11, 2012, the Company announced plans to consolidate its retail and financial operations currently managed in its Shelton, Connecticut facility with the Company's Atlanta, Georgia-based operations. Approximately 175 employees were affected by this closure.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400"/>
          </w:cols>
          <w:pgMar w:left="240" w:top="121" w:right="259" w:bottom="1440" w:gutter="0" w:footer="0" w:header="0"/>
        </w:sectPr>
      </w:pPr>
    </w:p>
    <w:bookmarkStart w:id="75" w:name="page76"/>
    <w:bookmarkEnd w:id="7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In connection with the plan to consolidate into a new headquarters facility in Atlanta, Georgia, the Company recorded approximately $33.3 million and $6.4 million in closing-related costs in the fiscal year ended December 28, 2013 and December 29, 2012,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amount of charges was included in selling, general, and administrative expenses and consisted of the following:</w:t>
      </w:r>
    </w:p>
    <w:p>
      <w:pPr>
        <w:spacing w:after="0" w:line="155" w:lineRule="exact"/>
        <w:rPr>
          <w:sz w:val="20"/>
          <w:szCs w:val="20"/>
          <w:color w:val="auto"/>
        </w:rPr>
      </w:pPr>
    </w:p>
    <w:tbl>
      <w:tblPr>
        <w:tblLayout w:type="fixed"/>
        <w:tblInd w:w="252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For the fiscal years ended</w:t>
            </w:r>
          </w:p>
        </w:tc>
      </w:tr>
      <w:tr>
        <w:trPr>
          <w:trHeight w:val="25"/>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millions)</w:t>
            </w:r>
          </w:p>
        </w:tc>
        <w:tc>
          <w:tcPr>
            <w:tcW w:w="12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28, 2013</w:t>
            </w:r>
          </w:p>
        </w:tc>
        <w:tc>
          <w:tcPr>
            <w:tcW w:w="20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29, 2012</w:t>
            </w:r>
          </w:p>
        </w:tc>
      </w:tr>
      <w:tr>
        <w:trPr>
          <w:trHeight w:val="25"/>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 and other benefits</w:t>
            </w:r>
          </w:p>
        </w:tc>
        <w:tc>
          <w:tcPr>
            <w:tcW w:w="12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depreciation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closure costs</w:t>
            </w:r>
          </w:p>
        </w:tc>
        <w:tc>
          <w:tcPr>
            <w:tcW w:w="12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5"/>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6"/>
          <w:szCs w:val="16"/>
          <w:color w:val="auto"/>
        </w:rPr>
        <w:t>The following table summarizes restructuring reserves related to the office consolidation which are included in other current liabilities in the accompanying unaudited condensed consolidated balance sheet as of December 28, 2013:</w:t>
      </w:r>
    </w:p>
    <w:p>
      <w:pPr>
        <w:spacing w:after="0" w:line="287" w:lineRule="exact"/>
        <w:rPr>
          <w:sz w:val="20"/>
          <w:szCs w:val="20"/>
          <w:color w:val="auto"/>
        </w:rPr>
      </w:pPr>
    </w:p>
    <w:tbl>
      <w:tblPr>
        <w:tblLayout w:type="fixed"/>
        <w:tblInd w:w="2420" w:type="dxa"/>
        <w:tblCellMar>
          <w:top w:w="0" w:type="dxa"/>
          <w:left w:w="0" w:type="dxa"/>
          <w:bottom w:w="0" w:type="dxa"/>
          <w:right w:w="0" w:type="dxa"/>
        </w:tblCellMar>
      </w:tblP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 closure costs</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
        </w:trPr>
        <w:tc>
          <w:tcPr>
            <w:tcW w:w="2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2012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18"/>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29,385</w:t>
            </w:r>
          </w:p>
        </w:tc>
      </w:tr>
      <w:tr>
        <w:trPr>
          <w:trHeight w:val="25"/>
        </w:trPr>
        <w:tc>
          <w:tcPr>
            <w:tcW w:w="2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(25,173)</w:t>
            </w: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2013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w:t>
            </w:r>
          </w:p>
        </w:tc>
      </w:tr>
      <w:tr>
        <w:trPr>
          <w:trHeight w:val="20"/>
        </w:trPr>
        <w:tc>
          <w:tcPr>
            <w:tcW w:w="2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6"/>
          <w:szCs w:val="16"/>
          <w:color w:val="auto"/>
        </w:rPr>
        <w:t>The Company has substantially completed its consolidation efforts as of December 28, 2013, and the accrual is expected to be paid in the first half of fiscal 2014. The Company expects to incur approximately $5.0 million in additional costs in fiscal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JAPAN RETAIL OPERATIONS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the first quarter of 2013, we assumed control of retail operations in Japan, previously managed by a licensee. In fiscal 2013, our retail operations in Japan generated sales of approximately $15.9 million and an operating loss of $11.3 million, which includes exit costs of approximately $4.1 million. In the fourth quarter of 2013, we decided to exit those operations based on revised forecasts which do not meet our investment objectives.</w:t>
      </w:r>
    </w:p>
    <w:p>
      <w:pPr>
        <w:spacing w:after="0" w:line="15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color w:val="auto"/>
        </w:rPr>
        <w:t>The Company recorded approximately $4.1 million in exit costs, of which $3.0 million is included in selling, general, and administrative expenses. The amount charged to SG&amp;A consisted of approximately $2.0 million in lease related charges, $0.9 million of employee severance and other benefit costs, and $0.1 million of accelerated depreciation. The remaining $1.1 million related to inventory write-offs, recorded in cost of goods sold. The accrual for exit costs was approximately $2.9 million as of December 28, 2013 and is included in other current liabilities on the accompanying audited consolidated balance sheet. The Company expects to incur approximately $6.0 million of additional costs in fiscal 2014.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LEASE COMMITMENTS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28, 2013, all of the Company's leases are classified as operating leases.</w:t>
      </w:r>
    </w:p>
    <w:p>
      <w:pPr>
        <w:spacing w:after="0" w:line="206"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Rent expense under operating leases was approximately $117.3 million, $99.3 million, and $83.1 million for the fiscal years ended December 28, 2013, December 29, 2012, and December 31, 2011, respectively.</w:t>
      </w:r>
    </w:p>
    <w:p>
      <w:pPr>
        <w:spacing w:after="0" w:line="1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Minimum annual rental commitments under current noncancellable operating leases, as of December 28, 2013, substantially all of which relate to property, were as follows: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380"/>
          </w:cols>
          <w:pgMar w:left="240" w:top="121" w:right="279" w:bottom="1440" w:gutter="0" w:footer="0" w:header="0"/>
        </w:sectPr>
      </w:pPr>
    </w:p>
    <w:bookmarkStart w:id="76" w:name="page77"/>
    <w:bookmarkEnd w:id="76"/>
    <w:tbl>
      <w:tblPr>
        <w:tblLayout w:type="fixed"/>
        <w:tblInd w:w="14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6400" w:type="dxa"/>
            <w:vAlign w:val="bottom"/>
            <w:gridSpan w:val="2"/>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CARTER’S, INC.</w:t>
            </w:r>
          </w:p>
        </w:tc>
        <w:tc>
          <w:tcPr>
            <w:tcW w:w="2540" w:type="dxa"/>
            <w:vAlign w:val="bottom"/>
          </w:tcPr>
          <w:p>
            <w:pPr>
              <w:spacing w:after="0"/>
              <w:rPr>
                <w:sz w:val="16"/>
                <w:szCs w:val="16"/>
                <w:color w:val="auto"/>
              </w:rPr>
            </w:pPr>
          </w:p>
        </w:tc>
      </w:tr>
      <w:tr>
        <w:trPr>
          <w:trHeight w:val="213"/>
        </w:trPr>
        <w:tc>
          <w:tcPr>
            <w:tcW w:w="2220" w:type="dxa"/>
            <w:vAlign w:val="bottom"/>
          </w:tcPr>
          <w:p>
            <w:pPr>
              <w:spacing w:after="0"/>
              <w:rPr>
                <w:sz w:val="18"/>
                <w:szCs w:val="18"/>
                <w:color w:val="auto"/>
              </w:rPr>
            </w:pPr>
          </w:p>
        </w:tc>
        <w:tc>
          <w:tcPr>
            <w:tcW w:w="64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tc>
        <w:tc>
          <w:tcPr>
            <w:tcW w:w="2540" w:type="dxa"/>
            <w:vAlign w:val="bottom"/>
          </w:tcPr>
          <w:p>
            <w:pPr>
              <w:spacing w:after="0"/>
              <w:rPr>
                <w:sz w:val="18"/>
                <w:szCs w:val="18"/>
                <w:color w:val="auto"/>
              </w:rPr>
            </w:pPr>
          </w:p>
        </w:tc>
      </w:tr>
      <w:tr>
        <w:trPr>
          <w:trHeight w:val="755"/>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5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26"/>
        </w:trPr>
        <w:tc>
          <w:tcPr>
            <w:tcW w:w="22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4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5"/>
        </w:trPr>
        <w:tc>
          <w:tcPr>
            <w:tcW w:w="22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4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noncancellable</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5"/>
        </w:trPr>
        <w:tc>
          <w:tcPr>
            <w:tcW w:w="2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1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64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104,517</w:t>
            </w: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5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100,617</w:t>
            </w:r>
          </w:p>
        </w:tc>
      </w:tr>
      <w:tr>
        <w:trPr>
          <w:trHeight w:val="25"/>
        </w:trPr>
        <w:tc>
          <w:tcPr>
            <w:tcW w:w="2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24"/>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5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91,417</w:t>
            </w: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5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86,007</w:t>
            </w:r>
          </w:p>
        </w:tc>
      </w:tr>
      <w:tr>
        <w:trPr>
          <w:trHeight w:val="25"/>
        </w:trPr>
        <w:tc>
          <w:tcPr>
            <w:tcW w:w="2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24"/>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5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81,257</w:t>
            </w: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302,405</w:t>
            </w:r>
          </w:p>
        </w:tc>
      </w:tr>
      <w:tr>
        <w:trPr>
          <w:trHeight w:val="25"/>
        </w:trPr>
        <w:tc>
          <w:tcPr>
            <w:tcW w:w="2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9"/>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766,220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Amounts related to property include leases on retail stores as well as various corporate offices, distribution facilities, and other premises. At December 28, 2013, the Company operated 657 leased retail stores across the United States, having an average size of approximately 4,400 square feet. In addition, the Company operates 102 leased retail stores in Canada, having an average size of approximately 5,500 square feet. The majority of the Company's lease terms range between 5 to 10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COMMITMENTS AND CONTINGENCIES</w:t>
      </w:r>
    </w:p>
    <w:p>
      <w:pPr>
        <w:spacing w:after="0" w:line="20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4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The Company's contractual obligations and commitments also include obligations associated with facility closures and employee severance agreements, operating leases, the secured revolving credit agreement, senior notes, and employee benefit plans, as disclosed elsewhere in the notes to the consolidated financial statements.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19 – VALUATION AND QUALIFYING ACCOUNTS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Information regarding accounts receivable is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3"/>
        </w:trPr>
        <w:tc>
          <w:tcPr>
            <w:tcW w:w="5580" w:type="dxa"/>
            <w:vAlign w:val="bottom"/>
          </w:tcPr>
          <w:p>
            <w:pPr>
              <w:spacing w:after="0"/>
              <w:rPr>
                <w:sz w:val="24"/>
                <w:szCs w:val="24"/>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Sales returns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2011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r>
      <w:tr>
        <w:trPr>
          <w:trHeight w:val="218"/>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charged to expense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r>
      <w:tr>
        <w:trPr>
          <w:trHeight w:val="25"/>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Charges to reserve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w:t>
            </w:r>
          </w:p>
        </w:tc>
      </w:tr>
      <w:tr>
        <w:trPr>
          <w:trHeight w:val="211"/>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2011</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r>
      <w:tr>
        <w:trPr>
          <w:trHeight w:val="25"/>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charged to expense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w:t>
            </w:r>
          </w:p>
        </w:tc>
      </w:tr>
      <w:tr>
        <w:trPr>
          <w:trHeight w:val="218"/>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Charges to reserve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w:t>
            </w:r>
          </w:p>
        </w:tc>
      </w:tr>
      <w:tr>
        <w:trPr>
          <w:trHeight w:val="25"/>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29, 2012</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w:t>
            </w:r>
          </w:p>
        </w:tc>
      </w:tr>
      <w:tr>
        <w:trPr>
          <w:trHeight w:val="218"/>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charged to expense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w:t>
            </w:r>
          </w:p>
        </w:tc>
      </w:tr>
      <w:tr>
        <w:trPr>
          <w:trHeight w:val="25"/>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Charges to reserve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28, 2013</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9,708</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UNAUDITED QUARTERLY FINANCIAL DATA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unaudited summarized financial data by quarter for the fiscal years ended December 28, 2013 and December 29, 2012 is presented in the table below:</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380"/>
          </w:cols>
          <w:pgMar w:left="240" w:top="121" w:right="2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30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Quarter 2</w:t>
            </w:r>
          </w:p>
        </w:tc>
        <w:tc>
          <w:tcPr>
            <w:tcW w:w="30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Quarter 3</w:t>
            </w:r>
          </w:p>
        </w:tc>
        <w:tc>
          <w:tcPr>
            <w:tcW w:w="300" w:type="dxa"/>
            <w:vAlign w:val="bottom"/>
          </w:tcPr>
          <w:p>
            <w:pPr>
              <w:spacing w:after="0"/>
              <w:rPr>
                <w:sz w:val="18"/>
                <w:szCs w:val="18"/>
                <w:color w:val="auto"/>
              </w:rPr>
            </w:pPr>
          </w:p>
        </w:tc>
        <w:tc>
          <w:tcPr>
            <w:tcW w:w="1420" w:type="dxa"/>
            <w:vAlign w:val="bottom"/>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Quarter 4</w:t>
            </w:r>
          </w:p>
        </w:tc>
        <w:tc>
          <w:tcPr>
            <w:tcW w:w="0" w:type="dxa"/>
            <w:vAlign w:val="bottom"/>
          </w:tcPr>
          <w:p>
            <w:pPr>
              <w:spacing w:after="0"/>
              <w:rPr>
                <w:sz w:val="1"/>
                <w:szCs w:val="1"/>
                <w:color w:val="auto"/>
              </w:rPr>
            </w:pPr>
          </w:p>
        </w:tc>
      </w:tr>
      <w:tr>
        <w:trPr>
          <w:trHeight w:val="25"/>
        </w:trPr>
        <w:tc>
          <w:tcPr>
            <w:tcW w:w="4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2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591,009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517,874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760,173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769,655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243,062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220,245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309,649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322,423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185,361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195,014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229,264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258,841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Royalty income</w:t>
            </w:r>
          </w:p>
        </w:tc>
        <w:tc>
          <w:tcPr>
            <w:tcW w:w="30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(9,242)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(9,812)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66,943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32,738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91,076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73,394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41,415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19,673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56,571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42,748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0.70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2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2012:</w:t>
            </w: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551,662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472,162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668,657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689,253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194,739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183,243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270,077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289,889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149,705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156,290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185,167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222,049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Royalty income</w:t>
            </w:r>
          </w:p>
        </w:tc>
        <w:tc>
          <w:tcPr>
            <w:tcW w:w="30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(8,766)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(10,527)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53,800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34,427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95,392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78,367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32,275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20,805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59,378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48,692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0.55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tcPr>
          <w:p>
            <w:pPr>
              <w:spacing w:after="0"/>
              <w:rPr>
                <w:sz w:val="18"/>
                <w:szCs w:val="18"/>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0.81</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1" w:right="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NOTE 21 – GUARANTOR CONDENSED CONSOLIDATING FINANCIAL STATEMENTS</w:t>
      </w:r>
    </w:p>
    <w:p>
      <w:pPr>
        <w:spacing w:after="0" w:line="20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The Company’s senior notes constitute debt obligations of TWCC (the “Issuer”), are unsecured and are fully and unconditionally guaranteed by Carter’s, Inc. (the “Parent”), and by each of the Company’s current domestic subsidiaries, and, subject to certain exceptions, future restricted subsidiaries that guarantee the Company’s senior secured revolving credit facility or certain other debt of the Company or the subsidiary guarantors.</w:t>
      </w:r>
    </w:p>
    <w:p>
      <w:pPr>
        <w:spacing w:after="0" w:line="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condensed consolidating financial information for the Parent, the Issuer and the guarantor and non-guarantor subsidiaries as of December 28, 2013 and December 29, 2012 and for fiscal 2013, 2012 and 2011, as presented below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and cash flows, had the Parent, Issuer, guarantor or non-guarantor subsidiaries operated as independent entities.</w:t>
      </w:r>
    </w:p>
    <w:p>
      <w:pPr>
        <w:spacing w:after="0" w:line="11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1420"/>
          </w:cols>
          <w:pgMar w:left="240" w:top="730" w:right="239" w:bottom="1440" w:gutter="0" w:footer="0" w:header="0"/>
        </w:sectPr>
      </w:pPr>
    </w:p>
    <w:bookmarkStart w:id="79" w:name="page80"/>
    <w:bookmarkEnd w:id="79"/>
    <w:p>
      <w:pPr>
        <w:ind w:left="510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28,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1560" w:type="dxa"/>
        <w:tblCellMar>
          <w:top w:w="0" w:type="dxa"/>
          <w:left w:w="0" w:type="dxa"/>
          <w:bottom w:w="0" w:type="dxa"/>
          <w:right w:w="0" w:type="dxa"/>
        </w:tblCellMar>
      </w:tblPr>
      <w:tr>
        <w:trPr>
          <w:trHeight w:val="183"/>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278,260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286,546</w:t>
            </w:r>
          </w:p>
        </w:tc>
        <w:tc>
          <w:tcPr>
            <w:tcW w:w="0" w:type="dxa"/>
            <w:vAlign w:val="bottom"/>
          </w:tcPr>
          <w:p>
            <w:pPr>
              <w:spacing w:after="0"/>
              <w:rPr>
                <w:sz w:val="1"/>
                <w:szCs w:val="1"/>
                <w:color w:val="auto"/>
              </w:rPr>
            </w:pPr>
          </w:p>
        </w:tc>
      </w:tr>
      <w:tr>
        <w:trPr>
          <w:trHeight w:val="202"/>
        </w:trPr>
        <w:tc>
          <w:tcPr>
            <w:tcW w:w="1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193,611</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Finished goods</w:t>
            </w:r>
          </w:p>
        </w:tc>
        <w:tc>
          <w:tcPr>
            <w:tcW w:w="20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221,462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181,889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46,217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(31,814)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417,754</w:t>
            </w:r>
          </w:p>
        </w:tc>
        <w:tc>
          <w:tcPr>
            <w:tcW w:w="0" w:type="dxa"/>
            <w:vAlign w:val="bottom"/>
          </w:tcPr>
          <w:p>
            <w:pPr>
              <w:spacing w:after="0"/>
              <w:rPr>
                <w:sz w:val="1"/>
                <w:szCs w:val="1"/>
                <w:color w:val="auto"/>
              </w:rPr>
            </w:pPr>
          </w:p>
        </w:tc>
      </w:tr>
      <w:tr>
        <w:trPr>
          <w:trHeight w:val="93"/>
        </w:trPr>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inventories, net</w:t>
            </w:r>
          </w:p>
        </w:tc>
        <w:tc>
          <w:tcPr>
            <w:tcW w:w="2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w:t>
            </w:r>
          </w:p>
        </w:tc>
        <w:tc>
          <w:tcPr>
            <w:tcW w:w="2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35,157</w:t>
            </w: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assets</w:t>
            </w:r>
          </w:p>
        </w:tc>
        <w:tc>
          <w:tcPr>
            <w:tcW w:w="2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6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37,313</w:t>
            </w:r>
          </w:p>
        </w:tc>
        <w:tc>
          <w:tcPr>
            <w:tcW w:w="0" w:type="dxa"/>
            <w:vAlign w:val="bottom"/>
          </w:tcPr>
          <w:p>
            <w:pPr>
              <w:spacing w:after="0"/>
              <w:rPr>
                <w:sz w:val="1"/>
                <w:szCs w:val="1"/>
                <w:color w:val="auto"/>
              </w:rPr>
            </w:pPr>
          </w:p>
        </w:tc>
      </w:tr>
      <w:tr>
        <w:trPr>
          <w:trHeight w:val="41"/>
        </w:trPr>
        <w:tc>
          <w:tcPr>
            <w:tcW w:w="18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764,857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334,148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(211,124)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970,381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148,671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133,846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25,368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307,885</w:t>
            </w:r>
          </w:p>
        </w:tc>
        <w:tc>
          <w:tcPr>
            <w:tcW w:w="0" w:type="dxa"/>
            <w:vAlign w:val="bottom"/>
          </w:tcPr>
          <w:p>
            <w:pPr>
              <w:spacing w:after="0"/>
              <w:rPr>
                <w:sz w:val="1"/>
                <w:szCs w:val="1"/>
                <w:color w:val="auto"/>
              </w:rPr>
            </w:pPr>
          </w:p>
        </w:tc>
      </w:tr>
      <w:tr>
        <w:trPr>
          <w:trHeight w:val="10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equipment, net</w:t>
            </w: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186,077</w:t>
            </w: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 and other</w:t>
            </w:r>
          </w:p>
        </w:tc>
        <w:tc>
          <w:tcPr>
            <w:tcW w:w="20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244,653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330,258</w:t>
            </w:r>
          </w:p>
        </w:tc>
        <w:tc>
          <w:tcPr>
            <w:tcW w:w="0" w:type="dxa"/>
            <w:vAlign w:val="bottom"/>
          </w:tcPr>
          <w:p>
            <w:pPr>
              <w:spacing w:after="0"/>
              <w:rPr>
                <w:sz w:val="1"/>
                <w:szCs w:val="1"/>
                <w:color w:val="auto"/>
              </w:rPr>
            </w:pPr>
          </w:p>
        </w:tc>
      </w:tr>
      <w:tr>
        <w:trPr>
          <w:trHeight w:val="9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2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debt issuance</w:t>
            </w:r>
          </w:p>
        </w:tc>
        <w:tc>
          <w:tcPr>
            <w:tcW w:w="2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w:t>
            </w: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costs, net</w:t>
            </w:r>
          </w:p>
        </w:tc>
        <w:tc>
          <w:tcPr>
            <w:tcW w:w="2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6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9,795</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2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263,183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(263,183)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w:t>
            </w:r>
          </w:p>
        </w:tc>
        <w:tc>
          <w:tcPr>
            <w:tcW w:w="2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6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20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note receivable</w:t>
            </w:r>
          </w:p>
        </w:tc>
        <w:tc>
          <w:tcPr>
            <w:tcW w:w="2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700,731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8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700,731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1,959,768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817,991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157,480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(1,823,486)</w:t>
            </w:r>
          </w:p>
        </w:tc>
        <w:tc>
          <w:tcPr>
            <w:tcW w:w="120" w:type="dxa"/>
            <w:vAlign w:val="bottom"/>
          </w:tcPr>
          <w:p>
            <w:pPr>
              <w:spacing w:after="0"/>
              <w:rPr>
                <w:sz w:val="16"/>
                <w:szCs w:val="16"/>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1,812,484</w:t>
            </w:r>
          </w:p>
        </w:tc>
        <w:tc>
          <w:tcPr>
            <w:tcW w:w="0" w:type="dxa"/>
            <w:vAlign w:val="bottom"/>
          </w:tcPr>
          <w:p>
            <w:pPr>
              <w:spacing w:after="0"/>
              <w:rPr>
                <w:sz w:val="1"/>
                <w:szCs w:val="1"/>
                <w:color w:val="auto"/>
              </w:rPr>
            </w:pPr>
          </w:p>
        </w:tc>
      </w:tr>
      <w:tr>
        <w:trPr>
          <w:trHeight w:val="69"/>
        </w:trPr>
        <w:tc>
          <w:tcPr>
            <w:tcW w:w="1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108,851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40,825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14,334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164,010</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payables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70,857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1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105,129</w:t>
            </w:r>
          </w:p>
        </w:tc>
        <w:tc>
          <w:tcPr>
            <w:tcW w:w="0" w:type="dxa"/>
            <w:vAlign w:val="bottom"/>
          </w:tcPr>
          <w:p>
            <w:pPr>
              <w:spacing w:after="0"/>
              <w:rPr>
                <w:sz w:val="1"/>
                <w:szCs w:val="1"/>
                <w:color w:val="auto"/>
              </w:rPr>
            </w:pPr>
          </w:p>
        </w:tc>
      </w:tr>
      <w:tr>
        <w:trPr>
          <w:trHeight w:val="29"/>
        </w:trPr>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238,692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269,139</w:t>
            </w:r>
          </w:p>
        </w:tc>
        <w:tc>
          <w:tcPr>
            <w:tcW w:w="0" w:type="dxa"/>
            <w:vAlign w:val="bottom"/>
          </w:tcPr>
          <w:p>
            <w:pPr>
              <w:spacing w:after="0"/>
              <w:rPr>
                <w:sz w:val="1"/>
                <w:szCs w:val="1"/>
                <w:color w:val="auto"/>
              </w:rPr>
            </w:pPr>
          </w:p>
        </w:tc>
      </w:tr>
      <w:tr>
        <w:trPr>
          <w:trHeight w:val="194"/>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586,000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586,000</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121,434</w:t>
            </w: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20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263,183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(263,183)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liability</w:t>
            </w:r>
          </w:p>
        </w:tc>
        <w:tc>
          <w:tcPr>
            <w:tcW w:w="2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2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payable</w:t>
            </w:r>
          </w:p>
        </w:tc>
        <w:tc>
          <w:tcPr>
            <w:tcW w:w="2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6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135,180</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700,731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732,545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449,888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(1,280,993)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700,731</w:t>
            </w: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(deficit)</w:t>
            </w:r>
          </w:p>
        </w:tc>
        <w:tc>
          <w:tcPr>
            <w:tcW w:w="2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6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liabilities and</w:t>
            </w:r>
          </w:p>
        </w:tc>
        <w:tc>
          <w:tcPr>
            <w:tcW w:w="20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700,731</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1,959,768</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817,991</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157,480</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(1,823,486)</w:t>
            </w:r>
          </w:p>
        </w:tc>
        <w:tc>
          <w:tcPr>
            <w:tcW w:w="120" w:type="dxa"/>
            <w:vAlign w:val="bottom"/>
          </w:tcPr>
          <w:p>
            <w:pPr>
              <w:spacing w:after="0"/>
              <w:rPr>
                <w:sz w:val="15"/>
                <w:szCs w:val="15"/>
                <w:color w:val="auto"/>
              </w:rPr>
            </w:pP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1,812,484</w:t>
            </w:r>
          </w:p>
        </w:tc>
        <w:tc>
          <w:tcPr>
            <w:tcW w:w="0" w:type="dxa"/>
            <w:vAlign w:val="bottom"/>
          </w:tcPr>
          <w:p>
            <w:pPr>
              <w:spacing w:after="0"/>
              <w:rPr>
                <w:sz w:val="1"/>
                <w:szCs w:val="1"/>
                <w:color w:val="auto"/>
              </w:rPr>
            </w:pPr>
          </w:p>
        </w:tc>
      </w:tr>
      <w:tr>
        <w:trPr>
          <w:trHeight w:val="93"/>
        </w:trPr>
        <w:tc>
          <w:tcPr>
            <w:tcW w:w="186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60" w:type="dxa"/>
            <w:vAlign w:val="bottom"/>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219"/>
          </w:cols>
          <w:pgMar w:left="240" w:top="58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As of December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156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10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351,858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382,236</w:t>
            </w:r>
          </w:p>
        </w:tc>
        <w:tc>
          <w:tcPr>
            <w:tcW w:w="0" w:type="dxa"/>
            <w:vAlign w:val="bottom"/>
          </w:tcPr>
          <w:p>
            <w:pPr>
              <w:spacing w:after="0"/>
              <w:rPr>
                <w:sz w:val="1"/>
                <w:szCs w:val="1"/>
                <w:color w:val="auto"/>
              </w:rPr>
            </w:pPr>
          </w:p>
        </w:tc>
      </w:tr>
      <w:tr>
        <w:trPr>
          <w:trHeight w:val="202"/>
        </w:trPr>
        <w:tc>
          <w:tcPr>
            <w:tcW w:w="1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168,046</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(101,323)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1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Finished goods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188,237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(36,142)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349,530</w:t>
            </w:r>
          </w:p>
        </w:tc>
        <w:tc>
          <w:tcPr>
            <w:tcW w:w="0" w:type="dxa"/>
            <w:vAlign w:val="bottom"/>
          </w:tcPr>
          <w:p>
            <w:pPr>
              <w:spacing w:after="0"/>
              <w:rPr>
                <w:sz w:val="1"/>
                <w:szCs w:val="1"/>
                <w:color w:val="auto"/>
              </w:rPr>
            </w:pPr>
          </w:p>
        </w:tc>
      </w:tr>
      <w:tr>
        <w:trPr>
          <w:trHeight w:val="93"/>
        </w:trPr>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inventories, net</w:t>
            </w: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22,216</w:t>
            </w:r>
          </w:p>
        </w:tc>
        <w:tc>
          <w:tcPr>
            <w:tcW w:w="0" w:type="dxa"/>
            <w:vAlign w:val="bottom"/>
          </w:tcPr>
          <w:p>
            <w:pPr>
              <w:spacing w:after="0"/>
              <w:rPr>
                <w:sz w:val="1"/>
                <w:szCs w:val="1"/>
                <w:color w:val="auto"/>
              </w:rPr>
            </w:pPr>
          </w:p>
        </w:tc>
      </w:tr>
      <w:tr>
        <w:trPr>
          <w:trHeight w:val="202"/>
        </w:trPr>
        <w:tc>
          <w:tcPr>
            <w:tcW w:w="1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35,675</w:t>
            </w:r>
          </w:p>
        </w:tc>
        <w:tc>
          <w:tcPr>
            <w:tcW w:w="0" w:type="dxa"/>
            <w:vAlign w:val="bottom"/>
          </w:tcPr>
          <w:p>
            <w:pPr>
              <w:spacing w:after="0"/>
              <w:rPr>
                <w:sz w:val="1"/>
                <w:szCs w:val="1"/>
                <w:color w:val="auto"/>
              </w:rPr>
            </w:pPr>
          </w:p>
        </w:tc>
      </w:tr>
      <w:tr>
        <w:trPr>
          <w:trHeight w:val="41"/>
        </w:trPr>
        <w:tc>
          <w:tcPr>
            <w:tcW w:w="1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764,758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272,363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(137,465)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957,703</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50,605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98,753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20,752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170,110</w:t>
            </w:r>
          </w:p>
        </w:tc>
        <w:tc>
          <w:tcPr>
            <w:tcW w:w="0" w:type="dxa"/>
            <w:vAlign w:val="bottom"/>
          </w:tcPr>
          <w:p>
            <w:pPr>
              <w:spacing w:after="0"/>
              <w:rPr>
                <w:sz w:val="1"/>
                <w:szCs w:val="1"/>
                <w:color w:val="auto"/>
              </w:rPr>
            </w:pPr>
          </w:p>
        </w:tc>
      </w:tr>
      <w:tr>
        <w:trPr>
          <w:trHeight w:val="105"/>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equipment, net</w:t>
            </w: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189,749</w:t>
            </w: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 and other</w:t>
            </w:r>
          </w:p>
        </w:tc>
        <w:tc>
          <w:tcPr>
            <w:tcW w:w="180" w:type="dxa"/>
            <w:vAlign w:val="bottom"/>
          </w:tcPr>
          <w:p>
            <w:pPr>
              <w:spacing w:after="0"/>
              <w:rPr>
                <w:sz w:val="16"/>
                <w:szCs w:val="16"/>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220,233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306,072</w:t>
            </w:r>
          </w:p>
        </w:tc>
        <w:tc>
          <w:tcPr>
            <w:tcW w:w="0" w:type="dxa"/>
            <w:vAlign w:val="bottom"/>
          </w:tcPr>
          <w:p>
            <w:pPr>
              <w:spacing w:after="0"/>
              <w:rPr>
                <w:sz w:val="1"/>
                <w:szCs w:val="1"/>
                <w:color w:val="auto"/>
              </w:rPr>
            </w:pPr>
          </w:p>
        </w:tc>
      </w:tr>
      <w:tr>
        <w:trPr>
          <w:trHeight w:val="9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debt issuance</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0" w:type="dxa"/>
            <w:vAlign w:val="bottom"/>
          </w:tcPr>
          <w:p>
            <w:pPr>
              <w:spacing w:after="0"/>
              <w:rPr>
                <w:sz w:val="1"/>
                <w:szCs w:val="1"/>
                <w:color w:val="auto"/>
              </w:rPr>
            </w:pPr>
          </w:p>
        </w:tc>
      </w:tr>
      <w:tr>
        <w:trPr>
          <w:trHeight w:val="93"/>
        </w:trPr>
        <w:tc>
          <w:tcPr>
            <w:tcW w:w="18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costs, net</w:t>
            </w: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8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3,597</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184,804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(184,804)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w:t>
            </w: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8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985,479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489,370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(1,475,337)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1"/>
        </w:trPr>
        <w:tc>
          <w:tcPr>
            <w:tcW w:w="1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985,479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1,667,937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641,982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(1,797,606)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1,630,109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149,625</w:t>
            </w:r>
          </w:p>
        </w:tc>
        <w:tc>
          <w:tcPr>
            <w:tcW w:w="0" w:type="dxa"/>
            <w:vAlign w:val="bottom"/>
          </w:tcPr>
          <w:p>
            <w:pPr>
              <w:spacing w:after="0"/>
              <w:rPr>
                <w:sz w:val="1"/>
                <w:szCs w:val="1"/>
                <w:color w:val="auto"/>
              </w:rPr>
            </w:pPr>
          </w:p>
        </w:tc>
      </w:tr>
      <w:tr>
        <w:trPr>
          <w:trHeight w:val="202"/>
        </w:trPr>
        <w:tc>
          <w:tcPr>
            <w:tcW w:w="1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payables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(101,323)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94,610</w:t>
            </w:r>
          </w:p>
        </w:tc>
        <w:tc>
          <w:tcPr>
            <w:tcW w:w="0" w:type="dxa"/>
            <w:vAlign w:val="bottom"/>
          </w:tcPr>
          <w:p>
            <w:pPr>
              <w:spacing w:after="0"/>
              <w:rPr>
                <w:sz w:val="1"/>
                <w:szCs w:val="1"/>
                <w:color w:val="auto"/>
              </w:rPr>
            </w:pPr>
          </w:p>
        </w:tc>
      </w:tr>
      <w:tr>
        <w:trPr>
          <w:trHeight w:val="194"/>
        </w:trPr>
        <w:tc>
          <w:tcPr>
            <w:tcW w:w="1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174,180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140,994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30,384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(101,323)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244,235</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186,000</w:t>
            </w: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114,341</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 term</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184,804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(184,804)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8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100,054</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(1,511,479)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985,479</w:t>
            </w:r>
          </w:p>
        </w:tc>
        <w:tc>
          <w:tcPr>
            <w:tcW w:w="0" w:type="dxa"/>
            <w:vAlign w:val="bottom"/>
          </w:tcPr>
          <w:p>
            <w:pPr>
              <w:spacing w:after="0"/>
              <w:rPr>
                <w:sz w:val="1"/>
                <w:szCs w:val="1"/>
                <w:color w:val="auto"/>
              </w:rPr>
            </w:pPr>
          </w:p>
        </w:tc>
      </w:tr>
      <w:tr>
        <w:trPr>
          <w:trHeight w:val="175"/>
        </w:trPr>
        <w:tc>
          <w:tcPr>
            <w:tcW w:w="1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liabilities and</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985,479</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1,667,937</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641,982</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132,317</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(1,797,606)</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1,630,109</w:t>
            </w:r>
          </w:p>
        </w:tc>
        <w:tc>
          <w:tcPr>
            <w:tcW w:w="0" w:type="dxa"/>
            <w:vAlign w:val="bottom"/>
          </w:tcPr>
          <w:p>
            <w:pPr>
              <w:spacing w:after="0"/>
              <w:rPr>
                <w:sz w:val="1"/>
                <w:szCs w:val="1"/>
                <w:color w:val="auto"/>
              </w:rPr>
            </w:pPr>
          </w:p>
        </w:tc>
      </w:tr>
      <w:tr>
        <w:trPr>
          <w:trHeight w:val="93"/>
        </w:trPr>
        <w:tc>
          <w:tcPr>
            <w:tcW w:w="188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8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219"/>
          </w:cols>
          <w:pgMar w:left="240" w:top="1316" w:right="1440" w:bottom="1440" w:gutter="0" w:footer="0" w:header="0"/>
        </w:sectPr>
      </w:pPr>
    </w:p>
    <w:bookmarkStart w:id="81" w:name="page82"/>
    <w:bookmarkEnd w:id="81"/>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28,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1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94"/>
              </w:rPr>
              <w:t>Consolidated</w:t>
            </w: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3"/>
              </w:rPr>
              <w:t>1,637,361</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9"/>
              </w:rPr>
              <w:t>1,397,540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220,438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(616,628)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2,638,711</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93"/>
              </w:rPr>
              <w:t>1,170,073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819,798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(559,042)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1,543,332</w:t>
            </w:r>
          </w:p>
        </w:tc>
        <w:tc>
          <w:tcPr>
            <w:tcW w:w="0" w:type="dxa"/>
            <w:vAlign w:val="bottom"/>
          </w:tcPr>
          <w:p>
            <w:pPr>
              <w:spacing w:after="0"/>
              <w:rPr>
                <w:sz w:val="1"/>
                <w:szCs w:val="1"/>
                <w:color w:val="auto"/>
              </w:rPr>
            </w:pPr>
          </w:p>
        </w:tc>
      </w:tr>
      <w:tr>
        <w:trPr>
          <w:trHeight w:val="211"/>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467,288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577,742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107,935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(57,586)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1,095,379</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204,255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632,854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868,480</w:t>
            </w:r>
          </w:p>
        </w:tc>
        <w:tc>
          <w:tcPr>
            <w:tcW w:w="0" w:type="dxa"/>
            <w:vAlign w:val="bottom"/>
          </w:tcPr>
          <w:p>
            <w:pPr>
              <w:spacing w:after="0"/>
              <w:rPr>
                <w:sz w:val="1"/>
                <w:szCs w:val="1"/>
                <w:color w:val="auto"/>
              </w:rPr>
            </w:pP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(37,252)</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291,207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264,151</w:t>
            </w:r>
          </w:p>
        </w:tc>
        <w:tc>
          <w:tcPr>
            <w:tcW w:w="0" w:type="dxa"/>
            <w:vAlign w:val="bottom"/>
          </w:tcPr>
          <w:p>
            <w:pPr>
              <w:spacing w:after="0"/>
              <w:rPr>
                <w:sz w:val="1"/>
                <w:szCs w:val="1"/>
                <w:color w:val="auto"/>
              </w:rPr>
            </w:pP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13,437</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0" w:type="dxa"/>
            <w:vAlign w:val="bottom"/>
          </w:tcPr>
          <w:p>
            <w:pPr>
              <w:spacing w:after="0"/>
              <w:rPr>
                <w:sz w:val="1"/>
                <w:szCs w:val="1"/>
                <w:color w:val="auto"/>
              </w:rPr>
            </w:pPr>
          </w:p>
        </w:tc>
      </w:tr>
      <w:tr>
        <w:trPr>
          <w:trHeight w:val="21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51,973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1,918</w:t>
            </w:r>
          </w:p>
        </w:tc>
        <w:tc>
          <w:tcPr>
            <w:tcW w:w="0" w:type="dxa"/>
            <w:vAlign w:val="bottom"/>
          </w:tcPr>
          <w:p>
            <w:pPr>
              <w:spacing w:after="0"/>
              <w:rPr>
                <w:sz w:val="1"/>
                <w:szCs w:val="1"/>
                <w:color w:val="auto"/>
              </w:rPr>
            </w:pPr>
          </w:p>
        </w:tc>
      </w:tr>
      <w:tr>
        <w:trPr>
          <w:trHeight w:val="211"/>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160,407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227,318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(48,326)</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(93,985)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249,465</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71,238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11,061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89,058</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9"/>
              </w:rPr>
              <w:t>$160,407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156,080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(93,985)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160,407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1520"/>
          </w:cols>
          <w:pgMar w:left="240" w:top="584" w:right="1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3"/>
              </w:rPr>
              <w:t>1,482,066</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9"/>
              </w:rPr>
              <w:t>1,241,686</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150,494</w:t>
            </w: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(492,512)</w:t>
            </w:r>
          </w:p>
        </w:tc>
        <w:tc>
          <w:tcPr>
            <w:tcW w:w="1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2,381,734</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93"/>
              </w:rPr>
              <w:t>1,066,249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747,906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79,148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1,443,786</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415,817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493,780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71,346</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(42,995)</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937,948</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163,614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535,927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61,000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713,211</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(37,249)</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277,663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10,346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261,986</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6,765</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(161,150)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124,336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94"/>
              </w:rPr>
              <w:t>161,150</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239,027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10,479</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(126,330)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255,391</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75,885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5,568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94,241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color w:val="auto"/>
                <w:w w:val="99"/>
              </w:rPr>
              <w:t>$161,150</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163,142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4,911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(126,330)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161,150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vMerge w:val="restart"/>
          </w:tcPr>
          <w:p>
            <w:pPr>
              <w:jc w:val="right"/>
              <w:ind w:right="104"/>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5"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31,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3"/>
              </w:rPr>
              <w:t>1,402,589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9"/>
              </w:rPr>
              <w:t>1,084,461</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76,571</w:t>
            </w: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(453,887)</w:t>
            </w:r>
          </w:p>
        </w:tc>
        <w:tc>
          <w:tcPr>
            <w:tcW w:w="1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2,109,734</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93"/>
              </w:rPr>
              <w:t>1,087,986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686,630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46,667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1,417,456</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314,603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397,831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29,904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(50,060)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692,278</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127,105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430,523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25,747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542,086</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2,937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(37,274)</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210,306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4,157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187,466</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7,549</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(114,016)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22,145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91,871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94"/>
              </w:rPr>
              <w:t>114,016</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181,362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4,367</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(103,579)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180,888</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55,638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8,854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66,872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color w:val="auto"/>
                <w:w w:val="99"/>
              </w:rPr>
              <w:t>$114,016</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125,724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1,987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(103,579)</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114,016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vMerge w:val="restart"/>
          </w:tcPr>
          <w:p>
            <w:pPr>
              <w:jc w:val="right"/>
              <w:ind w:right="104"/>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5"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Comprehensive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28,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158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20" w:type="dxa"/>
            <w:vAlign w:val="bottom"/>
            <w:vMerge w:val="continue"/>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160,407</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156,080</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(59,387)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(2,708)</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(93,985)</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5"/>
                <w:szCs w:val="15"/>
                <w:color w:val="auto"/>
              </w:rPr>
              <w:t>160,407</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benefit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6,609</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0" w:type="dxa"/>
            <w:vAlign w:val="bottom"/>
          </w:tcPr>
          <w:p>
            <w:pPr>
              <w:spacing w:after="0"/>
              <w:rPr>
                <w:sz w:val="1"/>
                <w:szCs w:val="1"/>
                <w:color w:val="auto"/>
              </w:rPr>
            </w:pPr>
          </w:p>
        </w:tc>
      </w:tr>
      <w:tr>
        <w:trPr>
          <w:trHeight w:val="25"/>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161,530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156,451</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(95,108)</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161,530</w:t>
            </w:r>
          </w:p>
        </w:tc>
        <w:tc>
          <w:tcPr>
            <w:tcW w:w="0" w:type="dxa"/>
            <w:vAlign w:val="bottom"/>
          </w:tcPr>
          <w:p>
            <w:pPr>
              <w:spacing w:after="0"/>
              <w:rPr>
                <w:sz w:val="1"/>
                <w:szCs w:val="1"/>
                <w:color w:val="auto"/>
              </w:rPr>
            </w:pPr>
          </w:p>
        </w:tc>
      </w:tr>
      <w:tr>
        <w:trPr>
          <w:trHeight w:val="217"/>
        </w:trPr>
        <w:tc>
          <w:tcPr>
            <w:tcW w:w="1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219"/>
          </w:cols>
          <w:pgMar w:left="240" w:top="535"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Comprehensive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158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Guarantor</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Consolidating</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Adjustments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80" w:type="dxa"/>
            <w:vAlign w:val="bottom"/>
            <w:vMerge w:val="continue"/>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161,150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163,142</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(41,723)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(126,330)</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5"/>
                <w:szCs w:val="15"/>
                <w:color w:val="auto"/>
              </w:rPr>
              <w:t>161,150</w:t>
            </w:r>
          </w:p>
        </w:tc>
        <w:tc>
          <w:tcPr>
            <w:tcW w:w="0" w:type="dxa"/>
            <w:vAlign w:val="bottom"/>
          </w:tcPr>
          <w:p>
            <w:pPr>
              <w:spacing w:after="0"/>
              <w:rPr>
                <w:sz w:val="1"/>
                <w:szCs w:val="1"/>
                <w:color w:val="auto"/>
              </w:rPr>
            </w:pPr>
          </w:p>
        </w:tc>
      </w:tr>
      <w:tr>
        <w:trPr>
          <w:trHeight w:val="25"/>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benefit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981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5"/>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161,227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163,324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(42,886)</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(126,407)</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161,227</w:t>
            </w:r>
          </w:p>
        </w:tc>
        <w:tc>
          <w:tcPr>
            <w:tcW w:w="0" w:type="dxa"/>
            <w:vAlign w:val="bottom"/>
          </w:tcPr>
          <w:p>
            <w:pPr>
              <w:spacing w:after="0"/>
              <w:rPr>
                <w:sz w:val="1"/>
                <w:szCs w:val="1"/>
                <w:color w:val="auto"/>
              </w:rPr>
            </w:pPr>
          </w:p>
        </w:tc>
      </w:tr>
      <w:tr>
        <w:trPr>
          <w:trHeight w:val="217"/>
        </w:trPr>
        <w:tc>
          <w:tcPr>
            <w:tcW w:w="1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219"/>
          </w:cols>
          <w:pgMar w:left="240" w:top="53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Comprehensive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31,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338" w:lineRule="exact"/>
        <w:rPr>
          <w:sz w:val="20"/>
          <w:szCs w:val="20"/>
          <w:color w:val="auto"/>
        </w:rPr>
      </w:pPr>
    </w:p>
    <w:tbl>
      <w:tblPr>
        <w:tblLayout w:type="fixed"/>
        <w:tblInd w:w="1580" w:type="dxa"/>
        <w:tblCellMar>
          <w:top w:w="0" w:type="dxa"/>
          <w:left w:w="0" w:type="dxa"/>
          <w:bottom w:w="0" w:type="dxa"/>
          <w:right w:w="0" w:type="dxa"/>
        </w:tblCellMar>
      </w:tblPr>
      <w:tr>
        <w:trPr>
          <w:trHeight w:val="183"/>
        </w:trPr>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Guarantor</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00" w:type="dxa"/>
            <w:vAlign w:val="bottom"/>
            <w:vMerge w:val="continue"/>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114,016</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125,724</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(24,132)</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1,987</w:t>
            </w:r>
          </w:p>
        </w:tc>
        <w:tc>
          <w:tcPr>
            <w:tcW w:w="1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(103,579)</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5"/>
                <w:szCs w:val="15"/>
                <w:color w:val="auto"/>
              </w:rPr>
              <w:t>114,016</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benefit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6,268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0" w:type="dxa"/>
            <w:vAlign w:val="bottom"/>
          </w:tcPr>
          <w:p>
            <w:pPr>
              <w:spacing w:after="0"/>
              <w:rPr>
                <w:sz w:val="1"/>
                <w:szCs w:val="1"/>
                <w:color w:val="auto"/>
              </w:rPr>
            </w:pPr>
          </w:p>
        </w:tc>
      </w:tr>
      <w:tr>
        <w:trPr>
          <w:trHeight w:val="20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5"/>
        </w:trPr>
        <w:tc>
          <w:tcPr>
            <w:tcW w:w="1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104,624</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125,662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(94,187)</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104,624</w:t>
            </w: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219"/>
          </w:cols>
          <w:pgMar w:left="240" w:top="535"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 December 28,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43" w:lineRule="exact"/>
        <w:rPr>
          <w:sz w:val="20"/>
          <w:szCs w:val="20"/>
          <w:color w:val="auto"/>
        </w:rPr>
      </w:pPr>
    </w:p>
    <w:tbl>
      <w:tblPr>
        <w:tblLayout w:type="fixed"/>
        <w:tblInd w:w="158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Consolidating</w:t>
            </w:r>
          </w:p>
        </w:tc>
        <w:tc>
          <w:tcPr>
            <w:tcW w:w="10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Adjustments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125,482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72,095</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12,119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209,696</w:t>
            </w:r>
          </w:p>
        </w:tc>
        <w:tc>
          <w:tcPr>
            <w:tcW w:w="0" w:type="dxa"/>
            <w:vAlign w:val="bottom"/>
          </w:tcPr>
          <w:p>
            <w:pPr>
              <w:spacing w:after="0"/>
              <w:rPr>
                <w:sz w:val="1"/>
                <w:szCs w:val="1"/>
                <w:color w:val="auto"/>
              </w:rPr>
            </w:pPr>
          </w:p>
        </w:tc>
      </w:tr>
      <w:tr>
        <w:trPr>
          <w:trHeight w:val="107"/>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6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(182,525)</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investing</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473,988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26,693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(481,848)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activity</w:t>
            </w:r>
          </w:p>
        </w:tc>
        <w:tc>
          <w:tcPr>
            <w:tcW w:w="16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w:t>
            </w:r>
          </w:p>
        </w:tc>
        <w:tc>
          <w:tcPr>
            <w:tcW w:w="160" w:type="dxa"/>
            <w:vAlign w:val="bottom"/>
          </w:tcPr>
          <w:p>
            <w:pPr>
              <w:spacing w:after="0"/>
              <w:rPr>
                <w:sz w:val="16"/>
                <w:szCs w:val="16"/>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intercompany loan</w:t>
            </w: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(38,007)</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tradenames</w:t>
            </w:r>
          </w:p>
        </w:tc>
        <w:tc>
          <w:tcPr>
            <w:tcW w:w="16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cash used in</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473,988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(222,874)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(63,964)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(25,834)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(381,848)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(220,532)</w:t>
            </w:r>
          </w:p>
        </w:tc>
        <w:tc>
          <w:tcPr>
            <w:tcW w:w="0" w:type="dxa"/>
            <w:vAlign w:val="bottom"/>
          </w:tcPr>
          <w:p>
            <w:pPr>
              <w:spacing w:after="0"/>
              <w:rPr>
                <w:sz w:val="1"/>
                <w:szCs w:val="1"/>
                <w:color w:val="auto"/>
              </w:rPr>
            </w:pPr>
          </w:p>
        </w:tc>
      </w:tr>
      <w:tr>
        <w:trPr>
          <w:trHeight w:val="105"/>
        </w:trPr>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investing activities</w:t>
            </w: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senior</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400,000</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w:t>
            </w:r>
          </w:p>
        </w:tc>
        <w:tc>
          <w:tcPr>
            <w:tcW w:w="16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financing</w:t>
            </w:r>
          </w:p>
        </w:tc>
        <w:tc>
          <w:tcPr>
            <w:tcW w:w="160" w:type="dxa"/>
            <w:vAlign w:val="bottom"/>
          </w:tcPr>
          <w:p>
            <w:pPr>
              <w:spacing w:after="0"/>
              <w:rPr>
                <w:sz w:val="16"/>
                <w:szCs w:val="16"/>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(361,424)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481,848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activity</w:t>
            </w: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loan</w:t>
            </w:r>
          </w:p>
        </w:tc>
        <w:tc>
          <w:tcPr>
            <w:tcW w:w="16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 on debt</w:t>
            </w:r>
          </w:p>
        </w:tc>
        <w:tc>
          <w:tcPr>
            <w:tcW w:w="160" w:type="dxa"/>
            <w:vAlign w:val="bottom"/>
          </w:tcPr>
          <w:p>
            <w:pPr>
              <w:spacing w:after="0"/>
              <w:rPr>
                <w:sz w:val="16"/>
                <w:szCs w:val="16"/>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(6,989)</w:t>
            </w:r>
          </w:p>
        </w:tc>
        <w:tc>
          <w:tcPr>
            <w:tcW w:w="0" w:type="dxa"/>
            <w:vAlign w:val="bottom"/>
          </w:tcPr>
          <w:p>
            <w:pPr>
              <w:spacing w:after="0"/>
              <w:rPr>
                <w:sz w:val="1"/>
                <w:szCs w:val="1"/>
                <w:color w:val="auto"/>
              </w:rPr>
            </w:pPr>
          </w:p>
        </w:tc>
      </w:tr>
      <w:tr>
        <w:trPr>
          <w:trHeight w:val="93"/>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issuance costs</w:t>
            </w: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of contingent</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(14,721)</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consideration</w:t>
            </w:r>
          </w:p>
        </w:tc>
        <w:tc>
          <w:tcPr>
            <w:tcW w:w="16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(27,715)</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Repurchase of common</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(454,133)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(454,133)</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16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benefit from</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4,112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11,040</w:t>
            </w: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Withholdings from</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vesting of restricted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(5,052)</w:t>
            </w:r>
          </w:p>
        </w:tc>
        <w:tc>
          <w:tcPr>
            <w:tcW w:w="0" w:type="dxa"/>
            <w:vAlign w:val="bottom"/>
          </w:tcPr>
          <w:p>
            <w:pPr>
              <w:spacing w:after="0"/>
              <w:rPr>
                <w:sz w:val="1"/>
                <w:szCs w:val="1"/>
                <w:color w:val="auto"/>
              </w:rPr>
            </w:pPr>
          </w:p>
        </w:tc>
      </w:tr>
      <w:tr>
        <w:trPr>
          <w:trHeight w:val="199"/>
        </w:trPr>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w:t>
            </w:r>
          </w:p>
        </w:tc>
        <w:tc>
          <w:tcPr>
            <w:tcW w:w="160" w:type="dxa"/>
            <w:vAlign w:val="bottom"/>
          </w:tcPr>
          <w:p>
            <w:pPr>
              <w:spacing w:after="0"/>
              <w:rPr>
                <w:sz w:val="16"/>
                <w:szCs w:val="16"/>
                <w:color w:val="auto"/>
              </w:rPr>
            </w:pP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12,912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12,912</w:t>
            </w:r>
          </w:p>
        </w:tc>
        <w:tc>
          <w:tcPr>
            <w:tcW w:w="0" w:type="dxa"/>
            <w:vAlign w:val="bottom"/>
          </w:tcPr>
          <w:p>
            <w:pPr>
              <w:spacing w:after="0"/>
              <w:rPr>
                <w:sz w:val="1"/>
                <w:szCs w:val="1"/>
                <w:color w:val="auto"/>
              </w:rPr>
            </w:pPr>
          </w:p>
        </w:tc>
      </w:tr>
      <w:tr>
        <w:trPr>
          <w:trHeight w:val="93"/>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of stock options</w:t>
            </w: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cash (used in)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provided by financing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(473,988)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23,794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381,848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(84,658)</w:t>
            </w:r>
          </w:p>
        </w:tc>
        <w:tc>
          <w:tcPr>
            <w:tcW w:w="0" w:type="dxa"/>
            <w:vAlign w:val="bottom"/>
          </w:tcPr>
          <w:p>
            <w:pPr>
              <w:spacing w:after="0"/>
              <w:rPr>
                <w:sz w:val="1"/>
                <w:szCs w:val="1"/>
                <w:color w:val="auto"/>
              </w:rPr>
            </w:pPr>
          </w:p>
        </w:tc>
      </w:tr>
      <w:tr>
        <w:trPr>
          <w:trHeight w:val="219"/>
        </w:trPr>
        <w:tc>
          <w:tcPr>
            <w:tcW w:w="1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105"/>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changes on cash</w:t>
            </w: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(95,690)</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equivalents, beginning of</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351,858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382,236</w:t>
            </w: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period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278,260</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8,286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286,546</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equivalents, end of period</w:t>
            </w:r>
          </w:p>
        </w:tc>
        <w:tc>
          <w:tcPr>
            <w:tcW w:w="160" w:type="dxa"/>
            <w:vAlign w:val="bottom"/>
            <w:vMerge w:val="continue"/>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27"/>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35" w:right="1440" w:bottom="1440" w:gutter="0" w:footer="0" w:header="0"/>
        </w:sectPr>
      </w:pPr>
    </w:p>
    <w:bookmarkStart w:id="88" w:name="page89"/>
    <w:bookmarkEnd w:id="88"/>
    <w:p>
      <w:pPr>
        <w:ind w:right="1040"/>
        <w:spacing w:after="0" w:line="288" w:lineRule="auto"/>
        <w:rPr>
          <w:sz w:val="20"/>
          <w:szCs w:val="20"/>
          <w:color w:val="auto"/>
        </w:rPr>
      </w:pPr>
      <w:r>
        <w:rPr>
          <w:rFonts w:ascii="Times New Roman" w:cs="Times New Roman" w:eastAsia="Times New Roman" w:hAnsi="Times New Roman"/>
          <w:sz w:val="16"/>
          <w:szCs w:val="16"/>
          <w:color w:val="auto"/>
        </w:rPr>
        <w:t>For the year end December 29, 2012 (dollars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Cash flows provided by</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operating activities:</w:t>
      </w: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Cash flows from investing</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activities:</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Capital expenditures</w:t>
      </w:r>
    </w:p>
    <w:p>
      <w:pPr>
        <w:spacing w:after="0" w:line="7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Intercompany investing</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activity</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Receipts from collection of</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intercompany loan</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Proceeds from sale of</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property, plant and</w:t>
      </w:r>
    </w:p>
    <w:p>
      <w:pPr>
        <w:spacing w:after="0" w:line="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equipment</w:t>
      </w:r>
    </w:p>
    <w:p>
      <w:pPr>
        <w:spacing w:after="0" w:line="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Net cash used in investing</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color w:val="auto"/>
        </w:rPr>
        <w:t>activities</w:t>
      </w: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Cash flows from financing</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auto"/>
        </w:rPr>
        <w:t>activities:</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Intercompany financing</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activity</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Repayment of intercompany</w:t>
      </w:r>
    </w:p>
    <w:p>
      <w:pPr>
        <w:spacing w:after="0" w:line="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loan</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Borrowings under secured</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revolving credit facility</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Payments on secured</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revolving credit facility</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Payment on debt issuance</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costs</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Income tax benefit from</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Withholdings from vesting</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of restricted stock</w:t>
      </w:r>
    </w:p>
    <w:p>
      <w:pPr>
        <w:spacing w:after="0" w:line="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Proceeds from exercise of</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stock options</w:t>
      </w:r>
    </w:p>
    <w:p>
      <w:pPr>
        <w:spacing w:after="0" w:line="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color w:val="auto"/>
        </w:rPr>
        <w:t>Net cash provided by</w:t>
      </w:r>
    </w:p>
    <w:p>
      <w:pPr>
        <w:spacing w:after="0" w:line="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color w:val="auto"/>
        </w:rPr>
        <w:t>(used in) financing</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color w:val="auto"/>
        </w:rPr>
        <w:t>activities</w:t>
      </w:r>
    </w:p>
    <w:p>
      <w:pPr>
        <w:spacing w:after="0" w:line="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Effect of exchange rate</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changes on cash</w:t>
      </w:r>
    </w:p>
    <w:p>
      <w:pPr>
        <w:spacing w:after="0" w:line="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Net increase in cash and cash</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equivalents</w:t>
      </w:r>
    </w:p>
    <w:p>
      <w:pPr>
        <w:spacing w:after="0" w:line="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beginning of period</w:t>
      </w:r>
    </w:p>
    <w:p>
      <w:pPr>
        <w:spacing w:after="0" w:line="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Consolidating</w:t>
            </w:r>
          </w:p>
        </w:tc>
        <w:tc>
          <w:tcPr>
            <w:tcW w:w="10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Adjustments</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9"/>
        </w:trPr>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0"/>
        </w:trPr>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153,058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107,433</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18,128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278,619</w:t>
            </w:r>
          </w:p>
        </w:tc>
      </w:tr>
      <w:tr>
        <w:trPr>
          <w:trHeight w:val="114"/>
        </w:trPr>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779"/>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(83,398)</w:t>
            </w:r>
          </w:p>
        </w:tc>
      </w:tr>
      <w:tr>
        <w:trPr>
          <w:trHeight w:val="329"/>
        </w:trPr>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4,548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2,819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511"/>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w:t>
            </w:r>
          </w:p>
        </w:tc>
      </w:tr>
      <w:tr>
        <w:trPr>
          <w:trHeight w:val="212"/>
        </w:trPr>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80"/>
        </w:trPr>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(54,865)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(83,392)</w:t>
            </w:r>
          </w:p>
        </w:tc>
      </w:tr>
      <w:tr>
        <w:trPr>
          <w:trHeight w:val="114"/>
        </w:trPr>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86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44,557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3,063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2,500</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(52,500)</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2,760</w:t>
            </w:r>
          </w:p>
        </w:tc>
      </w:tr>
      <w:tr>
        <w:trPr>
          <w:trHeight w:val="414"/>
        </w:trPr>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(2,846)</w:t>
            </w:r>
          </w:p>
        </w:tc>
      </w:tr>
      <w:tr>
        <w:trPr>
          <w:trHeight w:val="414"/>
        </w:trPr>
        <w:tc>
          <w:tcPr>
            <w:tcW w:w="16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5,685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5,685</w:t>
            </w:r>
          </w:p>
        </w:tc>
      </w:tr>
      <w:tr>
        <w:trPr>
          <w:trHeight w:val="126"/>
        </w:trPr>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365"/>
        </w:trPr>
        <w:tc>
          <w:tcPr>
            <w:tcW w:w="16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2,839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(46,317)</w:t>
            </w:r>
          </w:p>
        </w:tc>
      </w:tr>
      <w:tr>
        <w:trPr>
          <w:trHeight w:val="212"/>
        </w:trPr>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80"/>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402"/>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131,992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6,657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10,093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148,742</w:t>
            </w:r>
          </w:p>
        </w:tc>
      </w:tr>
      <w:tr>
        <w:trPr>
          <w:trHeight w:val="414"/>
        </w:trPr>
        <w:tc>
          <w:tcPr>
            <w:tcW w:w="1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219,866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233,494</w:t>
            </w:r>
          </w:p>
        </w:tc>
      </w:tr>
      <w:tr>
        <w:trPr>
          <w:trHeight w:val="126"/>
        </w:trPr>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268"/>
        </w:trPr>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351,858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6,940</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23,438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382,236</w:t>
            </w:r>
          </w:p>
        </w:tc>
      </w:tr>
      <w:tr>
        <w:trPr>
          <w:trHeight w:val="114"/>
        </w:trPr>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-5890895</wp:posOffset>
            </wp:positionV>
            <wp:extent cx="5226685" cy="26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-5511800</wp:posOffset>
            </wp:positionV>
            <wp:extent cx="5226685" cy="26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-5094605</wp:posOffset>
            </wp:positionV>
            <wp:extent cx="5226685" cy="262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-4568825</wp:posOffset>
            </wp:positionV>
            <wp:extent cx="5226685" cy="379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26685" cy="37909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-3926840</wp:posOffset>
            </wp:positionV>
            <wp:extent cx="5226685" cy="116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26685" cy="11620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-3548380</wp:posOffset>
            </wp:positionV>
            <wp:extent cx="5226685" cy="262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-3022600</wp:posOffset>
            </wp:positionV>
            <wp:extent cx="5226685" cy="262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-2496820</wp:posOffset>
            </wp:positionV>
            <wp:extent cx="5226685" cy="262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-1971040</wp:posOffset>
            </wp:positionV>
            <wp:extent cx="5226685" cy="26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-1445260</wp:posOffset>
            </wp:positionV>
            <wp:extent cx="5226685" cy="379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6685" cy="37909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-803275</wp:posOffset>
            </wp:positionV>
            <wp:extent cx="5226685" cy="262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6685" cy="262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-277495</wp:posOffset>
            </wp:positionV>
            <wp:extent cx="5226685" cy="262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6685" cy="26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140"/>
            <w:col w:w="6659"/>
          </w:cols>
          <w:pgMar w:left="240" w:top="53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219"/>
          </w:cols>
          <w:pgMar w:left="240" w:top="537" w:right="1440" w:bottom="1440" w:gutter="0" w:footer="0" w:header="0"/>
          <w:type w:val="continuous"/>
        </w:sectPr>
      </w:pPr>
    </w:p>
    <w:bookmarkStart w:id="89" w:name="page90"/>
    <w:bookmarkEnd w:id="89"/>
    <w:p>
      <w:pPr>
        <w:ind w:right="1060"/>
        <w:spacing w:after="0" w:line="288" w:lineRule="auto"/>
        <w:rPr>
          <w:sz w:val="20"/>
          <w:szCs w:val="20"/>
          <w:color w:val="auto"/>
        </w:rPr>
      </w:pPr>
      <w:r>
        <w:rPr>
          <w:rFonts w:ascii="Times New Roman" w:cs="Times New Roman" w:eastAsia="Times New Roman" w:hAnsi="Times New Roman"/>
          <w:sz w:val="16"/>
          <w:szCs w:val="16"/>
          <w:color w:val="auto"/>
        </w:rPr>
        <w:t>For the year end December 31, 2011 (dollars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80" w:right="20"/>
        <w:spacing w:after="0" w:line="318" w:lineRule="auto"/>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p>
      <w:pPr>
        <w:spacing w:after="0" w:line="1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b w:val="1"/>
          <w:bCs w:val="1"/>
          <w:color w:val="auto"/>
        </w:rPr>
        <w:t>Cash flows from investing</w:t>
      </w:r>
    </w:p>
    <w:p>
      <w:pPr>
        <w:spacing w:after="0" w:line="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b w:val="1"/>
          <w:bCs w:val="1"/>
          <w:color w:val="auto"/>
        </w:rPr>
        <w:t>activities:</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Capital expenditures</w:t>
      </w:r>
    </w:p>
    <w:p>
      <w:pPr>
        <w:spacing w:after="0" w:line="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Intercompany investing</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activity</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Issuance of intercompany</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loan</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Acquisition of tradenames</w:t>
      </w:r>
    </w:p>
    <w:p>
      <w:pPr>
        <w:spacing w:after="0" w:line="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Proceeds from sale of</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property, plant and</w:t>
      </w:r>
    </w:p>
    <w:p>
      <w:pPr>
        <w:spacing w:after="0" w:line="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equipment</w:t>
      </w:r>
    </w:p>
    <w:p>
      <w:pPr>
        <w:spacing w:after="0" w:line="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Net cash used in investing</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activities</w:t>
      </w:r>
    </w:p>
    <w:p>
      <w:pPr>
        <w:spacing w:after="0" w:line="2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b w:val="1"/>
          <w:bCs w:val="1"/>
          <w:color w:val="auto"/>
        </w:rPr>
        <w:t>Cash flows from financing</w:t>
      </w:r>
    </w:p>
    <w:p>
      <w:pPr>
        <w:spacing w:after="0" w:line="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b w:val="1"/>
          <w:bCs w:val="1"/>
          <w:color w:val="auto"/>
        </w:rPr>
        <w:t>activities:</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Proceeds from intercompany</w:t>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loan</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Intercompany financing</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activity</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Income tax benefit from</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Withholdings from vesting of</w:t>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restricted stock</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Proceeds from exercise of</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stock options</w:t>
      </w:r>
    </w:p>
    <w:p>
      <w:pPr>
        <w:spacing w:after="0" w:line="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Net cash provided by</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(used in) financing</w:t>
      </w:r>
    </w:p>
    <w:p>
      <w:pPr>
        <w:spacing w:after="0" w:line="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activities</w:t>
      </w:r>
    </w:p>
    <w:p>
      <w:pPr>
        <w:spacing w:after="0" w:line="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Effect of exchange rate</w:t>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changes on cash</w:t>
      </w:r>
    </w:p>
    <w:p>
      <w:pPr>
        <w:spacing w:after="0" w:line="51" w:lineRule="exact"/>
        <w:rPr>
          <w:sz w:val="20"/>
          <w:szCs w:val="20"/>
          <w:color w:val="auto"/>
        </w:rPr>
      </w:pPr>
    </w:p>
    <w:p>
      <w:pPr>
        <w:ind w:left="1580" w:right="40"/>
        <w:spacing w:after="0" w:line="278" w:lineRule="auto"/>
        <w:rPr>
          <w:sz w:val="20"/>
          <w:szCs w:val="20"/>
          <w:color w:val="auto"/>
        </w:rPr>
      </w:pPr>
      <w:r>
        <w:rPr>
          <w:rFonts w:ascii="Times New Roman" w:cs="Times New Roman" w:eastAsia="Times New Roman" w:hAnsi="Times New Roman"/>
          <w:sz w:val="15"/>
          <w:szCs w:val="15"/>
          <w:color w:val="auto"/>
        </w:rPr>
        <w:t>Net (decrease) increase in cash and cash equivalents</w:t>
      </w:r>
    </w:p>
    <w:p>
      <w:pPr>
        <w:spacing w:after="0" w:line="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beginning of period</w:t>
      </w:r>
    </w:p>
    <w:p>
      <w:pPr>
        <w:spacing w:after="0" w:line="51" w:lineRule="exact"/>
        <w:rPr>
          <w:sz w:val="20"/>
          <w:szCs w:val="20"/>
          <w:color w:val="auto"/>
        </w:rPr>
      </w:pPr>
    </w:p>
    <w:p>
      <w:pPr>
        <w:ind w:left="1580" w:right="20"/>
        <w:spacing w:after="0" w:line="278" w:lineRule="auto"/>
        <w:rPr>
          <w:sz w:val="20"/>
          <w:szCs w:val="20"/>
          <w:color w:val="auto"/>
        </w:rPr>
      </w:pPr>
      <w:r>
        <w:rPr>
          <w:rFonts w:ascii="Times New Roman" w:cs="Times New Roman" w:eastAsia="Times New Roman" w:hAnsi="Times New Roman"/>
          <w:sz w:val="15"/>
          <w:szCs w:val="15"/>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Non-</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2"/>
        </w:trPr>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
        </w:trPr>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0"/>
        </w:trPr>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76,662</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7,309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81,074</w:t>
            </w:r>
          </w:p>
        </w:tc>
      </w:tr>
      <w:tr>
        <w:trPr>
          <w:trHeight w:val="114"/>
        </w:trPr>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779"/>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(45,495)</w:t>
            </w:r>
          </w:p>
        </w:tc>
      </w:tr>
      <w:tr>
        <w:trPr>
          <w:trHeight w:val="329"/>
        </w:trPr>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5,055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329"/>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(61,207)</w:t>
            </w:r>
          </w:p>
        </w:tc>
      </w:tr>
      <w:tr>
        <w:trPr>
          <w:trHeight w:val="426"/>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w:t>
            </w:r>
          </w:p>
        </w:tc>
      </w:tr>
      <w:tr>
        <w:trPr>
          <w:trHeight w:val="212"/>
        </w:trPr>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80"/>
        </w:trPr>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(106,692)</w:t>
            </w:r>
          </w:p>
        </w:tc>
      </w:tr>
      <w:tr>
        <w:trPr>
          <w:trHeight w:val="114"/>
        </w:trPr>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864"/>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(33,076)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29,855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414"/>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6,450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6,900</w:t>
            </w:r>
          </w:p>
        </w:tc>
      </w:tr>
      <w:tr>
        <w:trPr>
          <w:trHeight w:val="414"/>
        </w:trPr>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(2,181)</w:t>
            </w:r>
          </w:p>
        </w:tc>
      </w:tr>
      <w:tr>
        <w:trPr>
          <w:trHeight w:val="414"/>
        </w:trPr>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6,786</w:t>
            </w:r>
          </w:p>
        </w:tc>
      </w:tr>
      <w:tr>
        <w:trPr>
          <w:trHeight w:val="126"/>
        </w:trPr>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365"/>
        </w:trPr>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30,305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7,987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11,505</w:t>
            </w:r>
          </w:p>
        </w:tc>
      </w:tr>
      <w:tr>
        <w:trPr>
          <w:trHeight w:val="212"/>
        </w:trPr>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80"/>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225</w:t>
            </w:r>
          </w:p>
        </w:tc>
      </w:tr>
      <w:tr>
        <w:trPr>
          <w:trHeight w:val="402"/>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(13,888)</w:t>
            </w:r>
          </w:p>
        </w:tc>
      </w:tr>
      <w:tr>
        <w:trPr>
          <w:trHeight w:val="414"/>
        </w:trPr>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241,377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6,005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247,382</w:t>
            </w:r>
          </w:p>
        </w:tc>
      </w:tr>
      <w:tr>
        <w:trPr>
          <w:trHeight w:val="126"/>
        </w:trPr>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268"/>
        </w:trPr>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219,866</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13,345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233,494</w:t>
            </w:r>
          </w:p>
        </w:tc>
      </w:tr>
      <w:tr>
        <w:trPr>
          <w:trHeight w:val="114"/>
        </w:trPr>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-5257165</wp:posOffset>
            </wp:positionV>
            <wp:extent cx="5288280"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-4878070</wp:posOffset>
            </wp:positionV>
            <wp:extent cx="5288280"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-4460875</wp:posOffset>
            </wp:positionV>
            <wp:extent cx="5288280" cy="262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-3935095</wp:posOffset>
            </wp:positionV>
            <wp:extent cx="5288280" cy="154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8280" cy="15494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-3401060</wp:posOffset>
            </wp:positionV>
            <wp:extent cx="5288280"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-3022600</wp:posOffset>
            </wp:positionV>
            <wp:extent cx="5288280"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-2496820</wp:posOffset>
            </wp:positionV>
            <wp:extent cx="5288280" cy="262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-1971040</wp:posOffset>
            </wp:positionV>
            <wp:extent cx="5288280" cy="262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-1445260</wp:posOffset>
            </wp:positionV>
            <wp:extent cx="5288280" cy="379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8280" cy="37909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-803275</wp:posOffset>
            </wp:positionV>
            <wp:extent cx="5288280" cy="26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88280" cy="262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-277495</wp:posOffset>
            </wp:positionV>
            <wp:extent cx="5288280" cy="262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88280" cy="26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140"/>
            <w:col w:w="6659"/>
          </w:cols>
          <w:pgMar w:left="240" w:top="537" w:right="1440" w:bottom="1440" w:gutter="0" w:footer="0" w:header="0"/>
        </w:sectPr>
      </w:pP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219"/>
          </w:cols>
          <w:pgMar w:left="240" w:top="537" w:right="1440" w:bottom="1440" w:gutter="0" w:footer="0" w:header="0"/>
          <w:type w:val="continuous"/>
        </w:sectPr>
      </w:pPr>
    </w:p>
    <w:bookmarkStart w:id="90" w:name="page91"/>
    <w:bookmarkEnd w:id="9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28, 2013.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0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61" w:lineRule="exact"/>
        <w:rPr>
          <w:sz w:val="20"/>
          <w:szCs w:val="20"/>
          <w:color w:val="auto"/>
        </w:rPr>
      </w:pPr>
    </w:p>
    <w:p>
      <w:pPr>
        <w:ind w:left="580" w:hanging="290"/>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the Company;</w:t>
      </w:r>
    </w:p>
    <w:p>
      <w:pPr>
        <w:spacing w:after="0" w:line="205" w:lineRule="exact"/>
        <w:rPr>
          <w:rFonts w:ascii="Times New Roman" w:cs="Times New Roman" w:eastAsia="Times New Roman" w:hAnsi="Times New Roman"/>
          <w:sz w:val="16"/>
          <w:szCs w:val="16"/>
          <w:color w:val="auto"/>
        </w:rPr>
      </w:pPr>
    </w:p>
    <w:p>
      <w:pPr>
        <w:ind w:left="580" w:right="140" w:hanging="290"/>
        <w:spacing w:after="0" w:line="271"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56" w:lineRule="exact"/>
        <w:rPr>
          <w:rFonts w:ascii="Times New Roman" w:cs="Times New Roman" w:eastAsia="Times New Roman" w:hAnsi="Times New Roman"/>
          <w:sz w:val="16"/>
          <w:szCs w:val="16"/>
          <w:color w:val="auto"/>
        </w:rPr>
      </w:pPr>
    </w:p>
    <w:p>
      <w:pPr>
        <w:ind w:left="580" w:right="480" w:hanging="290"/>
        <w:spacing w:after="0" w:line="288"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 xml:space="preserve">Management, including our Chief Executive Officer and Chief Financial Officer, assessed the effectiveness of the Company's internal control over financial reporting as of December 28, 2013. In making this assessment, management used the criteria set forth by the Committee of Sponsoring Organizations of the Treadway Commission (“COSO”) in the 1992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Based on this assessment, management has concluded that the Company's internal control over financial reporting was effective as of December 28, 2013.</w:t>
      </w:r>
    </w:p>
    <w:p>
      <w:pPr>
        <w:spacing w:after="0" w:line="16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The effectiveness of Carter's, Inc. and its subsidiaries' internal control over financial reporting as of December 28, 2013 has been audited by PricewaterhouseCoopers LLP, an independent registered public accounting firm, as stated in their report which appears herein.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There were no changes in the Company's internal controls over financial reporting during the fourth quarter of fiscal 2013 that have materially affected, or are reasonably likely to materially affect, the Company's internal control over financial reporting.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AND EXECUTIVE OFFICERS OF THE REGISTRANT</w:t>
      </w:r>
    </w:p>
    <w:p>
      <w:pPr>
        <w:spacing w:after="0" w:line="20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The information called for by Item 10 is incorporated herein by reference to the definitive proxy statement relating to the Annual Meeting of Stockholders of Carter's, Inc. to be held on May 14, 2014. Carter's, Inc. intends to file such definitive proxy statement with the Securities and Exchange Commission pursuant to Regulation 14A within 120 days after the end of the fiscal year covered by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called for by Item 11 is incorporated herein by reference to the definitive proxy statement referenced above in Item 10.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RELATED STOCKHOLDER MATTTERS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about our equity compensation plan as of our last fiscal year end: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599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2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of outstanding</w:t>
            </w: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options, warrants, and</w:t>
            </w: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19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jc w:val="center"/>
              <w:ind w:right="59"/>
              <w:spacing w:after="0" w:line="177" w:lineRule="exact"/>
              <w:rPr>
                <w:sz w:val="20"/>
                <w:szCs w:val="20"/>
                <w:color w:val="auto"/>
              </w:rPr>
            </w:pPr>
            <w:r>
              <w:rPr>
                <w:rFonts w:ascii="Times New Roman" w:cs="Times New Roman" w:eastAsia="Times New Roman" w:hAnsi="Times New Roman"/>
                <w:sz w:val="16"/>
                <w:szCs w:val="16"/>
                <w:b w:val="1"/>
                <w:bCs w:val="1"/>
                <w:color w:val="auto"/>
                <w:w w:val="99"/>
              </w:rPr>
              <w:t>rights</w:t>
            </w:r>
          </w:p>
        </w:tc>
        <w:tc>
          <w:tcPr>
            <w:tcW w:w="120" w:type="dxa"/>
            <w:vAlign w:val="bottom"/>
          </w:tcPr>
          <w:p>
            <w:pPr>
              <w:spacing w:after="0"/>
              <w:rPr>
                <w:sz w:val="15"/>
                <w:szCs w:val="15"/>
                <w:color w:val="auto"/>
              </w:rPr>
            </w:pPr>
          </w:p>
        </w:tc>
        <w:tc>
          <w:tcPr>
            <w:tcW w:w="19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reflected in first column)</w:t>
            </w:r>
          </w:p>
        </w:tc>
      </w:tr>
      <w:tr>
        <w:trPr>
          <w:trHeight w:val="41"/>
        </w:trPr>
        <w:tc>
          <w:tcPr>
            <w:tcW w:w="20" w:type="dxa"/>
            <w:vAlign w:val="bottom"/>
            <w:tcBorders>
              <w:bottom w:val="single" w:sz="8" w:color="CCEEFF"/>
            </w:tcBorders>
          </w:tcPr>
          <w:p>
            <w:pPr>
              <w:spacing w:after="0"/>
              <w:rPr>
                <w:sz w:val="3"/>
                <w:szCs w:val="3"/>
                <w:color w:val="auto"/>
              </w:rPr>
            </w:pPr>
          </w:p>
        </w:tc>
        <w:tc>
          <w:tcPr>
            <w:tcW w:w="1000" w:type="dxa"/>
            <w:vAlign w:val="bottom"/>
            <w:tcBorders>
              <w:top w:val="single" w:sz="8" w:color="auto"/>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 (1)</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1,677,741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35.37</w:t>
            </w:r>
          </w:p>
        </w:tc>
        <w:tc>
          <w:tcPr>
            <w:tcW w:w="20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2,597,512</w:t>
            </w:r>
          </w:p>
        </w:tc>
      </w:tr>
      <w:tr>
        <w:trPr>
          <w:trHeight w:val="218"/>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1,677,741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35.37</w:t>
            </w:r>
          </w:p>
        </w:tc>
        <w:tc>
          <w:tcPr>
            <w:tcW w:w="206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2,597,512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400" w:firstLine="338"/>
        <w:spacing w:after="0" w:line="506" w:lineRule="auto"/>
        <w:tabs>
          <w:tab w:leader="none" w:pos="63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stock options that are outstanding or that are available for future issuance pursuant to the Carter's, Inc. Amended and Restated Equity Incentive Plan. Additional information called for by Item 12 is incorporated herein by reference to the definitive proxy statement referenced above in Item 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called for by Item 13 is incorporated herein by reference to the definitive proxy statement referenced above in Item 10.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1440"/>
          </w:cols>
          <w:pgMar w:left="240" w:top="340" w:right="2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The information called for by Item 14 is incorporated herein by reference to the definitive proxy statement referenced above in Item 10.</w:t>
      </w:r>
    </w:p>
    <w:p>
      <w:pPr>
        <w:sectPr>
          <w:pgSz w:w="11900" w:h="16838" w:orient="portrait"/>
          <w:cols w:equalWidth="0" w:num="1">
            <w:col w:w="10219"/>
          </w:cols>
          <w:pgMar w:left="240" w:top="342"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219"/>
          </w:cols>
          <w:pgMar w:left="240" w:top="342" w:right="1440" w:bottom="1440"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88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0"/>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Page</w:t>
            </w:r>
          </w:p>
        </w:tc>
      </w:tr>
      <w:tr>
        <w:trPr>
          <w:trHeight w:val="224"/>
        </w:trPr>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w:t>
            </w:r>
          </w:p>
        </w:tc>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w:t>
            </w:r>
          </w:p>
        </w:tc>
        <w:tc>
          <w:tcPr>
            <w:tcW w:w="3040" w:type="dxa"/>
            <w:vAlign w:val="bottom"/>
            <w:gridSpan w:val="3"/>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Financial Statements filed as part of this report</w:t>
              </w:r>
            </w:hyperlink>
          </w:p>
        </w:tc>
        <w:tc>
          <w:tcPr>
            <w:tcW w:w="6720" w:type="dxa"/>
            <w:vAlign w:val="bottom"/>
            <w:gridSpan w:val="6"/>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3">
              <w:r>
                <w:rPr>
                  <w:rFonts w:ascii="Times New Roman" w:cs="Times New Roman" w:eastAsia="Times New Roman" w:hAnsi="Times New Roman"/>
                  <w:sz w:val="16"/>
                  <w:szCs w:val="16"/>
                  <w:color w:val="0000FF"/>
                  <w:w w:val="99"/>
                </w:rPr>
                <w:t>40</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9"/>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Report of Independent Registered Public Accounting Firm</w:t>
              </w:r>
            </w:hyperlink>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3">
              <w:r>
                <w:rPr>
                  <w:rFonts w:ascii="Times New Roman" w:cs="Times New Roman" w:eastAsia="Times New Roman" w:hAnsi="Times New Roman"/>
                  <w:sz w:val="16"/>
                  <w:szCs w:val="16"/>
                  <w:color w:val="0000FF"/>
                  <w:w w:val="99"/>
                </w:rPr>
                <w:t>41</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9"/>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 xml:space="preserve">Consolidated Balance Sheets at December 28, 2013 and December 29, </w:t>
              </w:r>
            </w:hyperlink>
            <w:r>
              <w:rPr>
                <w:rFonts w:ascii="Times New Roman" w:cs="Times New Roman" w:eastAsia="Times New Roman" w:hAnsi="Times New Roman"/>
                <w:sz w:val="16"/>
                <w:szCs w:val="16"/>
                <w:color w:val="0000FF"/>
              </w:rPr>
              <w:t>2012</w:t>
            </w:r>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4">
              <w:r>
                <w:rPr>
                  <w:rFonts w:ascii="Times New Roman" w:cs="Times New Roman" w:eastAsia="Times New Roman" w:hAnsi="Times New Roman"/>
                  <w:sz w:val="16"/>
                  <w:szCs w:val="16"/>
                  <w:color w:val="0000FF"/>
                  <w:w w:val="99"/>
                </w:rPr>
                <w:t>42</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9"/>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Consolidated Statements of Operations for the fiscal years ended December 28, 2013, December 29, 2012, and December 31, 2011</w:t>
              </w:r>
            </w:hyperlink>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5">
              <w:r>
                <w:rPr>
                  <w:rFonts w:ascii="Times New Roman" w:cs="Times New Roman" w:eastAsia="Times New Roman" w:hAnsi="Times New Roman"/>
                  <w:sz w:val="16"/>
                  <w:szCs w:val="16"/>
                  <w:color w:val="0000FF"/>
                  <w:w w:val="99"/>
                </w:rPr>
                <w:t>43</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340" w:type="dxa"/>
            <w:vAlign w:val="bottom"/>
            <w:gridSpan w:val="7"/>
          </w:tcPr>
          <w:p>
            <w:pPr>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Consolidated Statements of Comprehensive Income for the fiscal years ended December 28, 2013, December 29, 2012, and December 31, 2011</w:t>
              </w:r>
            </w:hyperlink>
          </w:p>
        </w:tc>
        <w:tc>
          <w:tcPr>
            <w:tcW w:w="420" w:type="dxa"/>
            <w:vAlign w:val="bottom"/>
            <w:gridSpan w:val="2"/>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6">
              <w:r>
                <w:rPr>
                  <w:rFonts w:ascii="Times New Roman" w:cs="Times New Roman" w:eastAsia="Times New Roman" w:hAnsi="Times New Roman"/>
                  <w:sz w:val="16"/>
                  <w:szCs w:val="16"/>
                  <w:color w:val="0000FF"/>
                  <w:w w:val="99"/>
                </w:rPr>
                <w:t>44</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gridSpan w:val="6"/>
          </w:tcPr>
          <w:p>
            <w:pPr>
              <w:spacing w:after="0"/>
              <w:rPr>
                <w:rFonts w:ascii="Times New Roman" w:cs="Times New Roman" w:eastAsia="Times New Roman" w:hAnsi="Times New Roman"/>
                <w:sz w:val="16"/>
                <w:szCs w:val="16"/>
                <w:color w:val="0000FF"/>
              </w:rPr>
            </w:pPr>
            <w:hyperlink w:anchor="page47">
              <w:r>
                <w:rPr>
                  <w:rFonts w:ascii="Times New Roman" w:cs="Times New Roman" w:eastAsia="Times New Roman" w:hAnsi="Times New Roman"/>
                  <w:sz w:val="16"/>
                  <w:szCs w:val="16"/>
                  <w:color w:val="0000FF"/>
                </w:rPr>
                <w:t>Consolidated Statements of Cash Flows for the fiscal years ended December 28, 2013, December 29, 2012, and December 31, 2011</w:t>
              </w:r>
            </w:hyperlink>
          </w:p>
        </w:tc>
        <w:tc>
          <w:tcPr>
            <w:tcW w:w="8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7">
              <w:r>
                <w:rPr>
                  <w:rFonts w:ascii="Times New Roman" w:cs="Times New Roman" w:eastAsia="Times New Roman" w:hAnsi="Times New Roman"/>
                  <w:sz w:val="16"/>
                  <w:szCs w:val="16"/>
                  <w:color w:val="0000FF"/>
                  <w:w w:val="99"/>
                </w:rPr>
                <w:t>45</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9"/>
          </w:tcPr>
          <w:p>
            <w:pPr>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Consolidated Statements of Changes in Stockholders' Equity for the fiscal years ended December 28, 2013, December 29, 2012, and December 31,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5"/>
        </w:trPr>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Borders>
              <w:top w:val="single" w:sz="8" w:color="0000FF"/>
            </w:tcBorders>
          </w:tcPr>
          <w:p>
            <w:pPr>
              <w:spacing w:after="0" w:line="175" w:lineRule="exact"/>
              <w:rPr>
                <w:rFonts w:ascii="Times New Roman" w:cs="Times New Roman" w:eastAsia="Times New Roman" w:hAnsi="Times New Roman"/>
                <w:sz w:val="16"/>
                <w:szCs w:val="16"/>
                <w:color w:val="0000FF"/>
                <w:w w:val="93"/>
              </w:rPr>
            </w:pPr>
            <w:hyperlink w:anchor="page48">
              <w:r>
                <w:rPr>
                  <w:rFonts w:ascii="Times New Roman" w:cs="Times New Roman" w:eastAsia="Times New Roman" w:hAnsi="Times New Roman"/>
                  <w:sz w:val="16"/>
                  <w:szCs w:val="16"/>
                  <w:color w:val="0000FF"/>
                  <w:w w:val="93"/>
                </w:rPr>
                <w:t>2011</w:t>
              </w:r>
            </w:hyperlink>
          </w:p>
        </w:tc>
        <w:tc>
          <w:tcPr>
            <w:tcW w:w="25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35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3"/>
          </w:tcPr>
          <w:p>
            <w:pPr>
              <w:jc w:val="center"/>
              <w:spacing w:after="0" w:line="175" w:lineRule="exact"/>
              <w:rPr>
                <w:rFonts w:ascii="Times New Roman" w:cs="Times New Roman" w:eastAsia="Times New Roman" w:hAnsi="Times New Roman"/>
                <w:sz w:val="16"/>
                <w:szCs w:val="16"/>
                <w:color w:val="0000FF"/>
                <w:w w:val="99"/>
              </w:rPr>
            </w:pPr>
            <w:hyperlink w:anchor="page48">
              <w:r>
                <w:rPr>
                  <w:rFonts w:ascii="Times New Roman" w:cs="Times New Roman" w:eastAsia="Times New Roman" w:hAnsi="Times New Roman"/>
                  <w:sz w:val="16"/>
                  <w:szCs w:val="16"/>
                  <w:color w:val="0000FF"/>
                  <w:w w:val="99"/>
                </w:rPr>
                <w:t>46</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40" w:type="dxa"/>
            <w:vAlign w:val="bottom"/>
            <w:gridSpan w:val="2"/>
          </w:tcPr>
          <w:p>
            <w:pP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Notes to Consolidated Financial Statements</w:t>
              </w:r>
            </w:hyperlink>
          </w:p>
        </w:tc>
        <w:tc>
          <w:tcPr>
            <w:tcW w:w="6920" w:type="dxa"/>
            <w:vAlign w:val="bottom"/>
            <w:gridSpan w:val="7"/>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6"/>
                <w:szCs w:val="16"/>
                <w:color w:val="0000FF"/>
                <w:w w:val="99"/>
              </w:rPr>
            </w:pPr>
            <w:hyperlink w:anchor="page49">
              <w:r>
                <w:rPr>
                  <w:rFonts w:ascii="Times New Roman" w:cs="Times New Roman" w:eastAsia="Times New Roman" w:hAnsi="Times New Roman"/>
                  <w:sz w:val="16"/>
                  <w:szCs w:val="16"/>
                  <w:color w:val="0000FF"/>
                  <w:w w:val="99"/>
                </w:rPr>
                <w:t>47</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7" w:lineRule="exact"/>
        <w:rPr>
          <w:sz w:val="20"/>
          <w:szCs w:val="20"/>
          <w:color w:val="auto"/>
        </w:rPr>
      </w:pPr>
    </w:p>
    <w:p>
      <w:pPr>
        <w:ind w:left="1120" w:hanging="465"/>
        <w:spacing w:after="0"/>
        <w:tabs>
          <w:tab w:leader="none" w:pos="112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 None</w:t>
      </w:r>
    </w:p>
    <w:p>
      <w:pPr>
        <w:spacing w:after="0" w:line="327" w:lineRule="exact"/>
        <w:rPr>
          <w:rFonts w:ascii="Times New Roman" w:cs="Times New Roman" w:eastAsia="Times New Roman" w:hAnsi="Times New Roman"/>
          <w:sz w:val="16"/>
          <w:szCs w:val="16"/>
          <w:color w:val="auto"/>
        </w:rPr>
      </w:pPr>
    </w:p>
    <w:p>
      <w:pPr>
        <w:ind w:left="1120" w:hanging="1037"/>
        <w:spacing w:after="0"/>
        <w:tabs>
          <w:tab w:leader="none" w:pos="11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58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8060" w:type="dxa"/>
            <w:vAlign w:val="bottom"/>
          </w:tcPr>
          <w:p>
            <w:pPr>
              <w:spacing w:after="0"/>
              <w:rPr>
                <w:sz w:val="16"/>
                <w:szCs w:val="16"/>
                <w:color w:val="auto"/>
              </w:rPr>
            </w:pPr>
          </w:p>
        </w:tc>
      </w:tr>
      <w:tr>
        <w:trPr>
          <w:trHeight w:val="244"/>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w:t>
            </w:r>
          </w:p>
        </w:tc>
        <w:tc>
          <w:tcPr>
            <w:tcW w:w="58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 of Incorporation of Carter's, Inc., as amended on May 12, 2006. Incorporated by reference to Carter's, Inc.'s Annual Report on Form 10-</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 filed on February 28, 2007.</w:t>
            </w:r>
          </w:p>
        </w:tc>
      </w:tr>
      <w:tr>
        <w:trPr>
          <w:trHeight w:val="244"/>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3.2</w:t>
            </w:r>
          </w:p>
        </w:tc>
        <w:tc>
          <w:tcPr>
            <w:tcW w:w="58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By-laws of Carter's, Inc. Incorporated by reference to Carter's, Inc. Annual Report on Form 10-K filed on February 29, 2012.</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4.1</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Specimen Certificate of Common Stock. Incorporated by reference to Carter's, Inc.'s Registration Statement on Form S-1 (No. 333-98679) filed on</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10, 2003.</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10.1</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Amended and Restated Credit Agreement dated as of August 31, 2012, among The William Carter Company, as U.S. borrower, The</w:t>
            </w:r>
          </w:p>
        </w:tc>
      </w:t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Genuine Canadian Corp., as Canadian borrower, Bank of America, N.A., as Administrative Agent, U.S. Dollar Facility Swing Line Lender, U.S.</w:t>
            </w:r>
          </w:p>
        </w:tc>
      </w:t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 Facility L/C Issuer and Collateral Agent, Bank of America, N.A., Canada Branch, as Canadian Agent, Multicurrency Facility Swing Line</w:t>
            </w:r>
          </w:p>
        </w:tc>
      </w:t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Lender and as a Multicurrency Facility L/C Issuer, JPMorgan Chase Bank, N.A., as Syndication Agent, Royal Bank</w:t>
            </w:r>
          </w:p>
        </w:tc>
      </w:t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Canada, SunTrust Bank and U.S. Bank National Association, as Co-Documentation Agents and Merrill Lynch, Pierce, Fenner &amp; Smith</w:t>
            </w:r>
          </w:p>
        </w:tc>
      </w:t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as Sole Lead Arranger and Sole Bookrunning Manager, and certain other lenders party thereto. Incorporated by reference to Carter's,</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 Current Report on Form 8-K filed on September 4, 2012.</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10.2</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Severance Agreement between The William Carter Company and Michael D. Casey, dated as of March 2, 2011.</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by reference to Carter's, Inc.'s Annual Report on Form 10-K filed on March 2, 2011.</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10.3</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Severance Agreement between The William Carter Company and Lisa A. Fitzgerald, dated as of March 2, 2011. Incorporated by reference to</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Carter's, Inc.'s Annual Report on Form 10-K filed on March 2, 2011.</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10.4</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Severance Agreement between The William Carter Company and Brian J. Lynch, dated as of March 2, 2011. Incorporated</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reference to Carter's, Inc.'s Annual Report on Form 10-K filed on March 2, 2011.</w:t>
            </w:r>
          </w:p>
        </w:tc>
      </w:tr>
      <w:tr>
        <w:trPr>
          <w:trHeight w:val="22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10.5</w:t>
            </w:r>
          </w:p>
        </w:tc>
        <w:tc>
          <w:tcPr>
            <w:tcW w:w="58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Severance Agreement between The William Carter Company and Richard F. Westenberger, dated as of March 2, 2011.</w:t>
            </w:r>
          </w:p>
        </w:tc>
      </w:tr>
      <w:tr>
        <w:trPr>
          <w:trHeight w:val="211"/>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by reference to Carter's, Inc.'s Annual Report on Form 10-K filed on March 2, 2011.</w:t>
            </w:r>
          </w:p>
        </w:tc>
      </w:tr>
      <w:tr>
        <w:trPr>
          <w:trHeight w:val="438"/>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
          </w:tcPr>
          <w:p>
            <w:pPr>
              <w:ind w:left="3900"/>
              <w:spacing w:after="0"/>
              <w:rPr>
                <w:sz w:val="20"/>
                <w:szCs w:val="20"/>
                <w:color w:val="auto"/>
              </w:rPr>
            </w:pPr>
            <w:r>
              <w:rPr>
                <w:rFonts w:ascii="Times New Roman" w:cs="Times New Roman" w:eastAsia="Times New Roman" w:hAnsi="Times New Roman"/>
                <w:sz w:val="16"/>
                <w:szCs w:val="16"/>
                <w:color w:val="auto"/>
              </w:rPr>
              <w:t>91</w:t>
            </w:r>
          </w:p>
        </w:tc>
      </w:tr>
    </w:tbl>
    <w:p>
      <w:pPr>
        <w:sectPr>
          <w:pgSz w:w="11900" w:h="16838" w:orient="portrait"/>
          <w:cols w:equalWidth="0" w:num="1">
            <w:col w:w="11400"/>
          </w:cols>
          <w:pgMar w:left="240" w:top="340" w:right="25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10.6</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Amended and Restated Equity Incentive Plan. Incorporated by reference to Carter's, Inc.'s Schedule 14A filed on April 5, 2011.</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10.7</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Amended and Restated Stockholders Agreement dated as of August 15, 2001 among Carter's, Inc. and the stockholders of Carter's, Inc., as</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amended. Incorporated by reference to Carter's, Inc.'s Registration Statement on Form S-1 (No. 333-98679) filed on October 10, 2003.</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10.8</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Amended and Restated Annual Incentive Compensation Plan. Incorporated by reference to Carter's, Inc.'s Schedule 14A filed on April 5, 2011.</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10.9</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William Carter Company Severance plan, dated as of March 1, 2009. Incorporated by reference to Carter's, Inc.'s Annual Report on Form 10-</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K filed on March 2, 2011.</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10.10</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William Carter Company Deferred Compensation Plan, dated as of November 10, 2010. Incorporated by reference to Carter's, Inc.'s Annual</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Report on Form 10-K filed on March 2, 2011.</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10.11</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Lease Agreement dated March 29, 2012 between The William Carter Company and Duke Secured Financing 2009-1 ALZ, LLC. Incorporated by</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reference to Carter's, Inc. Quarterly Report on Form 10-Q filed on April 27, 2012.</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10.12</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Lease Agreement dated December 14, 2012 between The William Carter Company and Phipps Tower Associates, LLC. &amp; Lease Termination</w:t>
            </w:r>
          </w:p>
        </w:tc>
      </w:tr>
      <w:tr>
        <w:trPr>
          <w:trHeight w:val="195"/>
        </w:trPr>
        <w:tc>
          <w:tcPr>
            <w:tcW w:w="740" w:type="dxa"/>
            <w:vAlign w:val="bottom"/>
          </w:tcPr>
          <w:p>
            <w:pPr>
              <w:spacing w:after="0"/>
              <w:rPr>
                <w:sz w:val="16"/>
                <w:szCs w:val="16"/>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Agreement dated December 14, 2012 between The William Carter Company and John Hancock Life Insurance Company (U.S.A). Incorporated</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by reference to Carter's, Inc. Current Report on Form 8-K filed on December 14, 2012.</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10.13</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Amendment No. 1 to the Amended and Restated Severance Agreement between The William Carter Company and Brian Lynch, dated as of May</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15, 2013. Incorporated by reference to Carter's, Inc. Quarterly Report on Form 10-Q filed on April 25, 2013.</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10.14</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Phipps Tower Lease - Second Amendment dated June 17, 2013 Incorporated by reference to Carter's, Inc. Quarterly Report on Form 10-Q filed on</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July 26, 2013.</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10.15</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Master Confirmation—Uncollared Accelerated Share Repurchase dated August 29, 2013. Incorporated by reference to Carter's, Inc. Quarterly</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Report on Form 10-Q filed on October 24, 2013.</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10.16</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Master Confirmation—Collared Accelerated Share Repurchase dated August 29, 2013. Incorporated by reference to Carter's, Inc. Quarterly</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Report on Form 10-Q filed on October 24, 2013.</w:t>
            </w:r>
          </w:p>
        </w:tc>
      </w:tr>
      <w:tr>
        <w:trPr>
          <w:trHeight w:val="228"/>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10.17</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Amendment to Secured Revolving Credit Facility dated August 7, 2013. Incorporated by reference to Carter's, Inc. Quarterly Report on Form 10-</w:t>
            </w:r>
          </w:p>
        </w:tc>
      </w:tr>
      <w:tr>
        <w:trPr>
          <w:trHeight w:val="211"/>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Q filed on October 24, 2013.</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21</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Subsidiaries of Carter's, Inc.</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23</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31.1</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Rule 13a-15(e)/15d-15(e) and 13a-15(f)/15d-15(f) Certification.</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31.2</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Rule 13a-15(e)/15d-15(e) and 13a-15(f)/15d-15(f) Certification.</w:t>
            </w:r>
          </w:p>
        </w:tc>
      </w:tr>
      <w:tr>
        <w:trPr>
          <w:trHeight w:val="244"/>
        </w:trPr>
        <w:tc>
          <w:tcPr>
            <w:tcW w:w="7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9"/>
              </w:rPr>
              <w:t>32</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Section 1350 Certification.</w:t>
            </w:r>
          </w:p>
        </w:tc>
      </w:tr>
      <w:tr>
        <w:trPr>
          <w:trHeight w:val="633"/>
        </w:trPr>
        <w:tc>
          <w:tcPr>
            <w:tcW w:w="740" w:type="dxa"/>
            <w:vAlign w:val="bottom"/>
          </w:tcPr>
          <w:p>
            <w:pPr>
              <w:spacing w:after="0"/>
              <w:rPr>
                <w:sz w:val="24"/>
                <w:szCs w:val="24"/>
                <w:color w:val="auto"/>
              </w:rPr>
            </w:pPr>
          </w:p>
        </w:tc>
        <w:tc>
          <w:tcPr>
            <w:tcW w:w="9900" w:type="dxa"/>
            <w:vAlign w:val="bottom"/>
          </w:tcPr>
          <w:p>
            <w:pPr>
              <w:ind w:left="4160"/>
              <w:spacing w:after="0"/>
              <w:rPr>
                <w:sz w:val="20"/>
                <w:szCs w:val="20"/>
                <w:color w:val="auto"/>
              </w:rPr>
            </w:pPr>
            <w:r>
              <w:rPr>
                <w:rFonts w:ascii="Times New Roman" w:cs="Times New Roman" w:eastAsia="Times New Roman" w:hAnsi="Times New Roman"/>
                <w:sz w:val="16"/>
                <w:szCs w:val="16"/>
                <w:color w:val="auto"/>
              </w:rPr>
              <w:t>92</w:t>
            </w:r>
          </w:p>
        </w:tc>
      </w:tr>
    </w:tbl>
    <w:p>
      <w:pPr>
        <w:sectPr>
          <w:pgSz w:w="11900" w:h="16838" w:orient="portrait"/>
          <w:cols w:equalWidth="0" w:num="1">
            <w:col w:w="10640"/>
          </w:cols>
          <w:pgMar w:left="980" w:top="488" w:right="279" w:bottom="1440" w:gutter="0" w:footer="0" w:header="0"/>
        </w:sectPr>
      </w:pPr>
    </w:p>
    <w:bookmarkStart w:id="95" w:name="page96"/>
    <w:bookmarkEnd w:id="95"/>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Section 13 or 15(a)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CARTER'S, INC.</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33020</wp:posOffset>
            </wp:positionV>
            <wp:extent cx="36880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8080" cy="7620"/>
                    </a:xfrm>
                    <a:prstGeom prst="rect">
                      <a:avLst/>
                    </a:prstGeom>
                    <a:noFill/>
                  </pic:spPr>
                </pic:pic>
              </a:graphicData>
            </a:graphic>
          </wp:anchor>
        </w:drawing>
      </w:r>
    </w:p>
    <w:p>
      <w:pPr>
        <w:spacing w:after="0" w:line="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Michael D. Casey</w:t>
      </w:r>
    </w:p>
    <w:p>
      <w:pPr>
        <w:spacing w:after="0" w:line="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2014</w:t>
      </w:r>
    </w:p>
    <w:p>
      <w:pPr>
        <w:spacing w:after="0" w:line="206"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2100" w:type="dxa"/>
            <w:vAlign w:val="bottom"/>
            <w:gridSpan w:val="2"/>
          </w:tcPr>
          <w:p>
            <w:pPr>
              <w:jc w:val="center"/>
              <w:ind w:right="170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236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2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49"/>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/s/ MICHAEL D. CASEY</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Michael D. Casey</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38"/>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/s/ RICHARD F. WESTENBERGER</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99"/>
              </w:rPr>
              <w:t>Richard F. Westenberger</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38"/>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/s/ AMY WOODS BRINKLEY</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Amy Woods Brinkley</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38"/>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/s/ VANESSA J. CASTAGNA</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Vanessa J. Castagna</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38"/>
        </w:trPr>
        <w:tc>
          <w:tcPr>
            <w:tcW w:w="37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/s/ A. BRUCE CLEVERLY</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A. Bruce Cleverly</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38"/>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/s/ JEVIN S. EAGLE</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3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Jevin S. Eagle</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38"/>
        </w:trPr>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93</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60"/>
          </w:cols>
          <w:pgMar w:left="240" w:top="541" w:right="59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 PAUL FULTON</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0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3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Paul Fulton</w:t>
            </w:r>
          </w:p>
        </w:tc>
        <w:tc>
          <w:tcPr>
            <w:tcW w:w="104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938"/>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WILLIAM J. MONTGORIS</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0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3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 J. Montgoris</w:t>
            </w:r>
          </w:p>
        </w:tc>
        <w:tc>
          <w:tcPr>
            <w:tcW w:w="104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938"/>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DAVID PULVER</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0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3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David Pulver</w:t>
            </w:r>
          </w:p>
        </w:tc>
        <w:tc>
          <w:tcPr>
            <w:tcW w:w="104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938"/>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JOHN R. WELCH</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0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3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R. Welch</w:t>
            </w:r>
          </w:p>
        </w:tc>
        <w:tc>
          <w:tcPr>
            <w:tcW w:w="104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938"/>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THOMAS E. WHIDDON</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0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February 26, 2014</w:t>
            </w:r>
          </w:p>
        </w:tc>
      </w:tr>
      <w:tr>
        <w:trPr>
          <w:trHeight w:val="25"/>
        </w:trPr>
        <w:tc>
          <w:tcPr>
            <w:tcW w:w="3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Thomas E. Whiddon</w:t>
            </w:r>
          </w:p>
        </w:tc>
        <w:tc>
          <w:tcPr>
            <w:tcW w:w="104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1132"/>
        </w:trPr>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94</w:t>
            </w:r>
          </w:p>
        </w:tc>
      </w:tr>
    </w:tbl>
    <w:p>
      <w:pPr>
        <w:sectPr>
          <w:pgSz w:w="11900" w:h="16838" w:orient="portrait"/>
          <w:cols w:equalWidth="0" w:num="1">
            <w:col w:w="10700"/>
          </w:cols>
          <w:pgMar w:left="600" w:top="1182" w:right="5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color w:val="auto"/>
        </w:rPr>
        <w:t>Exhibit 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Subsidiaries of Carter's,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William Carter Company is incorporated in Massachusetts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OshKosh B'Gosh Inc. is incorporated in Delaware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Retail, Inc. is incorporated in Delaware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TWCC Product Development and Sales, Inc. is incorporated in Delaware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Giftcard Company, Inc. is incorporated in Florida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Genuine Canadian Corp. is incorporated in Ontario, 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Canadian Holdings, LLC is formed in Delaware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Global Sourcing Limited is formed in Hong Kong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International Trading Company Limited is formed on Hong Kong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Japan GK is incorporated in Japan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40"/>
          </w:cols>
          <w:pgMar w:left="240" w:top="573" w:right="219" w:bottom="1440" w:gutter="0" w:footer="0" w:header="0"/>
        </w:sectPr>
      </w:pPr>
    </w:p>
    <w:bookmarkStart w:id="98" w:name="page99"/>
    <w:bookmarkEnd w:id="98"/>
    <w:p>
      <w:pPr>
        <w:ind w:left="5840"/>
        <w:spacing w:after="0"/>
        <w:rPr>
          <w:sz w:val="20"/>
          <w:szCs w:val="20"/>
          <w:color w:val="auto"/>
        </w:rPr>
      </w:pPr>
      <w:r>
        <w:rPr>
          <w:rFonts w:ascii="Times New Roman" w:cs="Times New Roman" w:eastAsia="Times New Roman" w:hAnsi="Times New Roman"/>
          <w:sz w:val="16"/>
          <w:szCs w:val="16"/>
          <w:color w:val="auto"/>
        </w:rPr>
        <w:t>Exhibit 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(Nos. 333-177724, 333-168446 and 333-125306) of Carter's, Inc. of our report dated February 26, 2014 relating to the financial statements and the effectiveness of internal control over financial reporting, which appears in this Form 10-K.</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2014</w:t>
      </w:r>
    </w:p>
    <w:p>
      <w:pPr>
        <w:sectPr>
          <w:pgSz w:w="11900" w:h="16838" w:orient="portrait"/>
          <w:cols w:equalWidth="0" w:num="1">
            <w:col w:w="11420"/>
          </w:cols>
          <w:pgMar w:left="240" w:top="537"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D. Casey, certify that:</w:t>
      </w:r>
    </w:p>
    <w:p>
      <w:pPr>
        <w:spacing w:after="0" w:line="230" w:lineRule="exact"/>
        <w:rPr>
          <w:sz w:val="20"/>
          <w:szCs w:val="20"/>
          <w:color w:val="auto"/>
        </w:rPr>
      </w:pPr>
    </w:p>
    <w:p>
      <w:pPr>
        <w:ind w:left="580" w:hanging="290"/>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Carter’s, Inc.;</w:t>
      </w:r>
    </w:p>
    <w:p>
      <w:pPr>
        <w:spacing w:after="0" w:line="229" w:lineRule="exact"/>
        <w:rPr>
          <w:rFonts w:ascii="Times New Roman" w:cs="Times New Roman" w:eastAsia="Times New Roman" w:hAnsi="Times New Roman"/>
          <w:sz w:val="16"/>
          <w:szCs w:val="16"/>
          <w:color w:val="auto"/>
        </w:rPr>
      </w:pPr>
    </w:p>
    <w:p>
      <w:pPr>
        <w:ind w:left="580" w:right="100" w:hanging="290"/>
        <w:spacing w:after="0" w:line="288"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6"/>
          <w:szCs w:val="16"/>
          <w:color w:val="auto"/>
        </w:rPr>
      </w:pPr>
    </w:p>
    <w:p>
      <w:pPr>
        <w:ind w:left="580" w:right="80" w:hanging="290"/>
        <w:spacing w:after="0" w:line="288"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4" w:lineRule="exact"/>
        <w:rPr>
          <w:rFonts w:ascii="Times New Roman" w:cs="Times New Roman" w:eastAsia="Times New Roman" w:hAnsi="Times New Roman"/>
          <w:sz w:val="16"/>
          <w:szCs w:val="16"/>
          <w:color w:val="auto"/>
        </w:rPr>
      </w:pPr>
    </w:p>
    <w:p>
      <w:pPr>
        <w:jc w:val="both"/>
        <w:ind w:left="1160" w:right="80" w:firstLine="6"/>
        <w:spacing w:after="0" w:line="271" w:lineRule="auto"/>
        <w:tabs>
          <w:tab w:leader="none" w:pos="138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jc w:val="both"/>
        <w:ind w:left="1160" w:right="200" w:firstLine="6"/>
        <w:spacing w:after="0" w:line="271" w:lineRule="auto"/>
        <w:tabs>
          <w:tab w:leader="none" w:pos="139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160" w:right="240" w:firstLine="6"/>
        <w:spacing w:after="0" w:line="288" w:lineRule="auto"/>
        <w:tabs>
          <w:tab w:leader="none" w:pos="138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6"/>
          <w:szCs w:val="16"/>
          <w:color w:val="auto"/>
        </w:rPr>
      </w:pPr>
    </w:p>
    <w:p>
      <w:pPr>
        <w:ind w:left="1160" w:right="440" w:firstLine="6"/>
        <w:spacing w:after="0" w:line="271" w:lineRule="auto"/>
        <w:tabs>
          <w:tab w:leader="none" w:pos="139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580" w:right="20" w:hanging="290"/>
        <w:spacing w:after="0" w:line="288"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6"/>
          <w:szCs w:val="16"/>
          <w:color w:val="auto"/>
        </w:rPr>
      </w:pPr>
    </w:p>
    <w:p>
      <w:pPr>
        <w:ind w:left="1160" w:right="180" w:firstLine="6"/>
        <w:spacing w:after="0" w:line="288" w:lineRule="auto"/>
        <w:tabs>
          <w:tab w:leader="none" w:pos="138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6"/>
          <w:szCs w:val="16"/>
          <w:color w:val="auto"/>
        </w:rPr>
      </w:pPr>
    </w:p>
    <w:p>
      <w:pPr>
        <w:ind w:left="1160" w:right="400" w:firstLine="6"/>
        <w:spacing w:after="0" w:line="288" w:lineRule="auto"/>
        <w:tabs>
          <w:tab w:leader="none" w:pos="139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2420"/>
        <w:spacing w:after="0"/>
        <w:tabs>
          <w:tab w:leader="none" w:pos="6860" w:val="left"/>
        </w:tabs>
        <w:rPr>
          <w:sz w:val="20"/>
          <w:szCs w:val="20"/>
          <w:color w:val="auto"/>
        </w:rPr>
      </w:pPr>
      <w:r>
        <w:rPr>
          <w:rFonts w:ascii="Times New Roman" w:cs="Times New Roman" w:eastAsia="Times New Roman" w:hAnsi="Times New Roman"/>
          <w:sz w:val="16"/>
          <w:szCs w:val="16"/>
          <w:color w:val="auto"/>
        </w:rPr>
        <w:t>Date : February 26, 2014</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33020</wp:posOffset>
            </wp:positionV>
            <wp:extent cx="165481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4810" cy="15240"/>
                    </a:xfrm>
                    <a:prstGeom prst="rect">
                      <a:avLst/>
                    </a:prstGeom>
                    <a:noFill/>
                  </pic:spPr>
                </pic:pic>
              </a:graphicData>
            </a:graphic>
          </wp:anchor>
        </w:drawing>
      </w:r>
    </w:p>
    <w:p>
      <w:pPr>
        <w:spacing w:after="0" w:line="64"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6"/>
          <w:szCs w:val="16"/>
          <w:color w:val="auto"/>
        </w:rPr>
        <w:t>Michael D. Casey</w:t>
      </w:r>
    </w:p>
    <w:p>
      <w:pPr>
        <w:spacing w:after="0" w:line="58"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440"/>
          </w:cols>
          <w:pgMar w:left="240" w:top="318" w:right="2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F. Westenberger, certify that:</w:t>
      </w:r>
    </w:p>
    <w:p>
      <w:pPr>
        <w:spacing w:after="0" w:line="230" w:lineRule="exact"/>
        <w:rPr>
          <w:sz w:val="20"/>
          <w:szCs w:val="20"/>
          <w:color w:val="auto"/>
        </w:rPr>
      </w:pPr>
    </w:p>
    <w:p>
      <w:pPr>
        <w:ind w:left="580" w:hanging="290"/>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Carter’s, Inc.;</w:t>
      </w:r>
    </w:p>
    <w:p>
      <w:pPr>
        <w:spacing w:after="0" w:line="229" w:lineRule="exact"/>
        <w:rPr>
          <w:rFonts w:ascii="Times New Roman" w:cs="Times New Roman" w:eastAsia="Times New Roman" w:hAnsi="Times New Roman"/>
          <w:sz w:val="16"/>
          <w:szCs w:val="16"/>
          <w:color w:val="auto"/>
        </w:rPr>
      </w:pPr>
    </w:p>
    <w:p>
      <w:pPr>
        <w:ind w:left="580" w:right="100" w:hanging="290"/>
        <w:spacing w:after="0" w:line="288"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6"/>
          <w:szCs w:val="16"/>
          <w:color w:val="auto"/>
        </w:rPr>
      </w:pPr>
    </w:p>
    <w:p>
      <w:pPr>
        <w:ind w:left="580" w:right="80" w:hanging="290"/>
        <w:spacing w:after="0" w:line="288"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4" w:lineRule="exact"/>
        <w:rPr>
          <w:rFonts w:ascii="Times New Roman" w:cs="Times New Roman" w:eastAsia="Times New Roman" w:hAnsi="Times New Roman"/>
          <w:sz w:val="16"/>
          <w:szCs w:val="16"/>
          <w:color w:val="auto"/>
        </w:rPr>
      </w:pPr>
    </w:p>
    <w:p>
      <w:pPr>
        <w:jc w:val="both"/>
        <w:ind w:left="1160" w:right="80" w:firstLine="6"/>
        <w:spacing w:after="0" w:line="271" w:lineRule="auto"/>
        <w:tabs>
          <w:tab w:leader="none" w:pos="138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jc w:val="both"/>
        <w:ind w:left="1160" w:right="200" w:firstLine="6"/>
        <w:spacing w:after="0" w:line="271" w:lineRule="auto"/>
        <w:tabs>
          <w:tab w:leader="none" w:pos="139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160" w:right="240" w:firstLine="6"/>
        <w:spacing w:after="0" w:line="288" w:lineRule="auto"/>
        <w:tabs>
          <w:tab w:leader="none" w:pos="138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6"/>
          <w:szCs w:val="16"/>
          <w:color w:val="auto"/>
        </w:rPr>
      </w:pPr>
    </w:p>
    <w:p>
      <w:pPr>
        <w:ind w:left="1160" w:right="440" w:firstLine="6"/>
        <w:spacing w:after="0" w:line="271" w:lineRule="auto"/>
        <w:tabs>
          <w:tab w:leader="none" w:pos="139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580" w:right="20" w:hanging="290"/>
        <w:spacing w:after="0" w:line="288"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6"/>
          <w:szCs w:val="16"/>
          <w:color w:val="auto"/>
        </w:rPr>
      </w:pPr>
    </w:p>
    <w:p>
      <w:pPr>
        <w:ind w:left="1160" w:right="180" w:firstLine="6"/>
        <w:spacing w:after="0" w:line="288" w:lineRule="auto"/>
        <w:tabs>
          <w:tab w:leader="none" w:pos="138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6"/>
          <w:szCs w:val="16"/>
          <w:color w:val="auto"/>
        </w:rPr>
      </w:pPr>
    </w:p>
    <w:p>
      <w:pPr>
        <w:ind w:left="1160" w:right="400" w:firstLine="6"/>
        <w:spacing w:after="0" w:line="288" w:lineRule="auto"/>
        <w:tabs>
          <w:tab w:leader="none" w:pos="139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2340"/>
        <w:spacing w:after="0"/>
        <w:tabs>
          <w:tab w:leader="none" w:pos="6340" w:val="left"/>
        </w:tabs>
        <w:rPr>
          <w:sz w:val="20"/>
          <w:szCs w:val="20"/>
          <w:color w:val="auto"/>
        </w:rPr>
      </w:pPr>
      <w:r>
        <w:rPr>
          <w:rFonts w:ascii="Times New Roman" w:cs="Times New Roman" w:eastAsia="Times New Roman" w:hAnsi="Times New Roman"/>
          <w:sz w:val="16"/>
          <w:szCs w:val="16"/>
          <w:color w:val="auto"/>
        </w:rPr>
        <w:t>Date : February 26, 2014</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33020</wp:posOffset>
            </wp:positionV>
            <wp:extent cx="195643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6435" cy="15240"/>
                    </a:xfrm>
                    <a:prstGeom prst="rect">
                      <a:avLst/>
                    </a:prstGeom>
                    <a:noFill/>
                  </pic:spPr>
                </pic:pic>
              </a:graphicData>
            </a:graphic>
          </wp:anchor>
        </w:drawing>
      </w:r>
    </w:p>
    <w:p>
      <w:pPr>
        <w:spacing w:after="0" w:line="7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5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ectPr>
          <w:pgSz w:w="11900" w:h="16838" w:orient="portrait"/>
          <w:cols w:equalWidth="0" w:num="1">
            <w:col w:w="11440"/>
          </w:cols>
          <w:pgMar w:left="240" w:top="232" w:right="2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8" w:lineRule="exact"/>
        <w:rPr>
          <w:sz w:val="20"/>
          <w:szCs w:val="20"/>
          <w:color w:val="auto"/>
        </w:rPr>
      </w:pPr>
    </w:p>
    <w:p>
      <w:pPr>
        <w:ind w:right="220" w:firstLine="292"/>
        <w:spacing w:after="0" w:line="271" w:lineRule="auto"/>
        <w:rPr>
          <w:sz w:val="20"/>
          <w:szCs w:val="20"/>
          <w:color w:val="auto"/>
        </w:rPr>
      </w:pPr>
      <w:r>
        <w:rPr>
          <w:rFonts w:ascii="Times New Roman" w:cs="Times New Roman" w:eastAsia="Times New Roman" w:hAnsi="Times New Roman"/>
          <w:sz w:val="16"/>
          <w:szCs w:val="16"/>
          <w:color w:val="auto"/>
        </w:rPr>
        <w:t>Each of the undersigned in the capacity indicated hereby certifies that, to his knowledge, this Annual Report on Form 10-K for the fiscal year ended December 28, 2013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60"/>
        <w:spacing w:after="0"/>
        <w:tabs>
          <w:tab w:leader="none" w:pos="6680" w:val="left"/>
        </w:tabs>
        <w:rPr>
          <w:sz w:val="20"/>
          <w:szCs w:val="20"/>
          <w:color w:val="auto"/>
        </w:rPr>
      </w:pPr>
      <w:r>
        <w:rPr>
          <w:rFonts w:ascii="Times New Roman" w:cs="Times New Roman" w:eastAsia="Times New Roman" w:hAnsi="Times New Roman"/>
          <w:sz w:val="16"/>
          <w:szCs w:val="16"/>
          <w:color w:val="auto"/>
        </w:rPr>
        <w:t>Date : February 26, 2014</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33020</wp:posOffset>
            </wp:positionV>
            <wp:extent cx="285305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76"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6"/>
          <w:szCs w:val="16"/>
          <w:color w:val="auto"/>
        </w:rPr>
        <w:t>Michael D. Casey</w:t>
      </w:r>
    </w:p>
    <w:p>
      <w:pPr>
        <w:spacing w:after="0" w:line="58"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spacing w:after="0"/>
        <w:tabs>
          <w:tab w:leader="none" w:pos="6320" w:val="left"/>
        </w:tabs>
        <w:rPr>
          <w:sz w:val="20"/>
          <w:szCs w:val="20"/>
          <w:color w:val="auto"/>
        </w:rPr>
      </w:pPr>
      <w:r>
        <w:rPr>
          <w:rFonts w:ascii="Times New Roman" w:cs="Times New Roman" w:eastAsia="Times New Roman" w:hAnsi="Times New Roman"/>
          <w:sz w:val="16"/>
          <w:szCs w:val="16"/>
          <w:color w:val="auto"/>
        </w:rPr>
        <w:t>Date : February 26, 2014</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33020</wp:posOffset>
            </wp:positionV>
            <wp:extent cx="285305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5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firstLine="292"/>
        <w:spacing w:after="0" w:line="288" w:lineRule="auto"/>
        <w:rPr>
          <w:sz w:val="20"/>
          <w:szCs w:val="20"/>
          <w:color w:val="auto"/>
        </w:rPr>
      </w:pPr>
      <w:r>
        <w:rPr>
          <w:rFonts w:ascii="Times New Roman" w:cs="Times New Roman" w:eastAsia="Times New Roman" w:hAnsi="Times New Roman"/>
          <w:sz w:val="16"/>
          <w:szCs w:val="16"/>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40"/>
      </w:cols>
      <w:pgMar w:left="240" w:top="23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Roman"/>
      <w:start w:val="10"/>
    </w:lvl>
  </w:abstractNum>
  <w:abstractNum w:abstractNumId="18">
    <w:nsid w:val="8EDBDAB"/>
    <w:multiLevelType w:val="hybridMultilevel"/>
    <w:lvl w:ilvl="0">
      <w:lvlJc w:val="left"/>
      <w:lvlText w:val="(%1)"/>
      <w:numFmt w:val="lowerLetter"/>
      <w:start w:val="1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upperLetter"/>
      <w:start w:val="1"/>
    </w:lvl>
    <w:lvl w:ilvl="1">
      <w:lvlJc w:val="left"/>
      <w:lvlText w:val="%2."/>
      <w:numFmt w:val="decimal"/>
      <w:start w:val="2"/>
    </w:lvl>
  </w:abstractNum>
  <w:abstractNum w:abstractNumId="27">
    <w:nsid w:val="2901D82"/>
    <w:multiLevelType w:val="hybridMultilevel"/>
    <w:lvl w:ilvl="0">
      <w:lvlJc w:val="left"/>
      <w:lvlText w:val="(%1)"/>
      <w:numFmt w:val="upperLetter"/>
      <w:start w:val="2"/>
    </w:lvl>
    <w:lvl w:ilvl="1">
      <w:lvlJc w:val="left"/>
      <w:lvlText w:val="%2"/>
      <w:numFmt w:val="decimal"/>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2019-12-06T19:12:01Z</dcterms:created>
  <dcterms:modified xsi:type="dcterms:W3CDTF">2019-12-06T19:12:01Z</dcterms:modified>
</cp:coreProperties>
</file>