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color w:val="000000"/>
        </w:rPr>
        <w:t>          </w:t>
      </w: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pPr>
      <w:r>
        <w:rPr>
          <w:color w:val="000000"/>
        </w:rPr>
        <w:t> </w:t>
      </w:r>
      <w:r>
        <w:rPr>
          <w:rFonts w:ascii="Times New Roman;serif" w:hAnsi="Times New Roman;serif"/>
          <w:b/>
          <w:color w:val="000000"/>
          <w:sz w:val="24"/>
        </w:rPr>
        <w:t xml:space="preserve">Date of Report (Date of earliest event reported): July 25, 2025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9" w:type="dxa"/>
        <w:jc w:val="left"/>
        <w:tblInd w:w="0" w:type="dxa"/>
        <w:tblLayout w:type="fixed"/>
        <w:tblCellMar>
          <w:top w:w="28" w:type="dxa"/>
          <w:left w:w="28" w:type="dxa"/>
          <w:bottom w:w="28" w:type="dxa"/>
          <w:right w:w="28" w:type="dxa"/>
        </w:tblCellMar>
      </w:tblPr>
      <w:tblGrid>
        <w:gridCol w:w="1460"/>
        <w:gridCol w:w="1283"/>
        <w:gridCol w:w="1816"/>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Carter’s, Inc.</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001-31829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13-3912933</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Phipps Tower, </w:t>
      </w:r>
    </w:p>
    <w:p>
      <w:pPr>
        <w:pStyle w:val="TextBody"/>
        <w:bidi w:val="0"/>
        <w:spacing w:lineRule="auto" w:line="417" w:before="0" w:after="20"/>
        <w:jc w:val="center"/>
        <w:rPr>
          <w:rFonts w:ascii="Times New Roman;serif" w:hAnsi="Times New Roman;serif"/>
          <w:b/>
          <w:color w:val="000000"/>
          <w:sz w:val="20"/>
        </w:rPr>
      </w:pPr>
      <w:r>
        <w:rPr>
          <w:rFonts w:ascii="Times New Roman;serif" w:hAnsi="Times New Roman;serif"/>
          <w:b/>
          <w:color w:val="000000"/>
          <w:sz w:val="20"/>
        </w:rPr>
        <w:t xml:space="preserve">3438 Peachtree Road NE, Suite 1800 </w:t>
      </w:r>
    </w:p>
    <w:p>
      <w:pPr>
        <w:pStyle w:val="TextBody"/>
        <w:bidi w:val="0"/>
        <w:spacing w:lineRule="auto" w:line="417" w:before="0" w:after="20"/>
        <w:jc w:val="center"/>
        <w:rPr>
          <w:rFonts w:ascii="Times New Roman;serif" w:hAnsi="Times New Roman;serif"/>
          <w:b/>
          <w:color w:val="000000"/>
          <w:sz w:val="20"/>
        </w:rPr>
      </w:pPr>
      <w:r>
        <w:rPr>
          <w:rFonts w:ascii="Times New Roman;serif" w:hAnsi="Times New Roman;serif"/>
          <w:b/>
          <w:color w:val="000000"/>
          <w:sz w:val="20"/>
        </w:rPr>
        <w:t xml:space="preserve">Atlanta, Georgia 30326 </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(678) 791-1000 </w:t>
      </w:r>
    </w:p>
    <w:p>
      <w:pPr>
        <w:pStyle w:val="TextBody"/>
        <w:bidi w:val="0"/>
        <w:spacing w:lineRule="auto" w:line="288" w:before="120" w:after="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97" w:type="dxa"/>
        <w:jc w:val="left"/>
        <w:tblInd w:w="0" w:type="dxa"/>
        <w:tblLayout w:type="fixed"/>
        <w:tblCellMar>
          <w:top w:w="28" w:type="dxa"/>
          <w:left w:w="28" w:type="dxa"/>
          <w:bottom w:w="28" w:type="dxa"/>
          <w:right w:w="28" w:type="dxa"/>
        </w:tblCellMar>
      </w:tblPr>
      <w:tblGrid>
        <w:gridCol w:w="1312"/>
        <w:gridCol w:w="1155"/>
        <w:gridCol w:w="1162"/>
        <w:gridCol w:w="109"/>
        <w:gridCol w:w="109"/>
        <w:gridCol w:w="109"/>
        <w:gridCol w:w="309"/>
        <w:gridCol w:w="309"/>
        <w:gridCol w:w="311"/>
        <w:gridCol w:w="109"/>
        <w:gridCol w:w="109"/>
        <w:gridCol w:w="109"/>
        <w:gridCol w:w="699"/>
        <w:gridCol w:w="699"/>
        <w:gridCol w:w="987"/>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w:t>
              <w:br/>
              <w:t>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w:t>
              <w:br/>
              <w:t> on which registered</w:t>
            </w:r>
          </w:p>
        </w:tc>
      </w:tr>
      <w:tr>
        <w:trPr/>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25, 2025, Carter’s, Inc. issued a press release announcing its financial results for its fiscal quarter ended June 28, 2025. A copy of that press release is attached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the Current Report on Form 8-K is being furnished and shall not be deemed "filed" for the purposes of Section 18 of the Securities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470" w:type="dxa"/>
        <w:jc w:val="left"/>
        <w:tblInd w:w="0" w:type="dxa"/>
        <w:tblLayout w:type="fixed"/>
        <w:tblCellMar>
          <w:top w:w="28" w:type="dxa"/>
          <w:left w:w="28" w:type="dxa"/>
          <w:bottom w:w="28" w:type="dxa"/>
          <w:right w:w="28" w:type="dxa"/>
        </w:tblCellMar>
      </w:tblPr>
      <w:tblGrid>
        <w:gridCol w:w="294"/>
        <w:gridCol w:w="258"/>
        <w:gridCol w:w="259"/>
        <w:gridCol w:w="1945"/>
        <w:gridCol w:w="1945"/>
        <w:gridCol w:w="2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7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i-ex991q22025.htm">
              <w:r>
                <w:rPr>
                  <w:rStyle w:val="InternetLink"/>
                  <w:rFonts w:ascii="Times New Roman;serif" w:hAnsi="Times New Roman;serif"/>
                  <w:b w:val="false"/>
                  <w:color w:val="0000FF"/>
                  <w:sz w:val="20"/>
                  <w:u w:val="single"/>
                </w:rPr>
                <w:t>Press Release of Carter’s, Inc., dated July 25,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Carter’s, Inc.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648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6034" w:type="dxa"/>
        <w:jc w:val="left"/>
        <w:tblInd w:w="0" w:type="dxa"/>
        <w:tblLayout w:type="fixed"/>
        <w:tblCellMar>
          <w:top w:w="28" w:type="dxa"/>
          <w:left w:w="28" w:type="dxa"/>
          <w:bottom w:w="28" w:type="dxa"/>
          <w:right w:w="28" w:type="dxa"/>
        </w:tblCellMar>
      </w:tblPr>
      <w:tblGrid>
        <w:gridCol w:w="443"/>
        <w:gridCol w:w="390"/>
        <w:gridCol w:w="396"/>
        <w:gridCol w:w="242"/>
        <w:gridCol w:w="242"/>
        <w:gridCol w:w="242"/>
        <w:gridCol w:w="1182"/>
        <w:gridCol w:w="1182"/>
        <w:gridCol w:w="171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25, 2025</w:t>
            </w:r>
          </w:p>
        </w:tc>
        <w:tc>
          <w:tcPr>
            <w:tcW w:w="48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CARTER’S, INC.</w:t>
            </w:r>
          </w:p>
          <w:p>
            <w:pPr>
              <w:pStyle w:val="TableContents"/>
              <w:bidi w:val="0"/>
              <w:spacing w:lineRule="auto" w:line="240" w:before="0" w:after="0"/>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Antonio D. Robinson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Antonio D. Robinson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&amp; Compliance Officer and Secretary</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br/>
              <w:t> </w:t>
              <w:br/>
              <w:t> </w:t>
              <w:b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color w:val="000000"/>
        </w:rPr>
      </w:pPr>
      <w:r>
        <w:rPr>
          <w:color w:val="000000"/>
        </w:rPr>
        <w:t>                                            </w:t>
      </w:r>
      <w:r>
        <w:rPr>
          <w:rFonts w:ascii="Times New Roman;serif" w:hAnsi="Times New Roman;serif"/>
          <w:b w:val="false"/>
          <w:color w:val="000000"/>
          <w:sz w:val="20"/>
        </w:rPr>
        <w:t>EXHIBIT 99.1</w:t>
      </w:r>
    </w:p>
    <w:p>
      <w:pPr>
        <w:pStyle w:val="TextBody"/>
        <w:bidi w:val="0"/>
        <w:spacing w:lineRule="auto" w:line="288" w:before="0" w:after="0"/>
        <w:jc w:val="both"/>
        <w:rPr>
          <w:color w:val="000000"/>
        </w:rPr>
      </w:pPr>
      <w:r>
        <w:rPr>
          <w:color w:val="000000"/>
        </w:rPr>
        <w:t>                                                </w:t>
      </w:r>
    </w:p>
    <w:tbl>
      <w:tblPr>
        <w:tblW w:w="3641" w:type="dxa"/>
        <w:jc w:val="left"/>
        <w:tblInd w:w="0" w:type="dxa"/>
        <w:tblLayout w:type="fixed"/>
        <w:tblCellMar>
          <w:top w:w="28" w:type="dxa"/>
          <w:left w:w="28" w:type="dxa"/>
          <w:bottom w:w="28" w:type="dxa"/>
          <w:right w:w="28" w:type="dxa"/>
        </w:tblCellMar>
      </w:tblPr>
      <w:tblGrid>
        <w:gridCol w:w="266"/>
        <w:gridCol w:w="234"/>
        <w:gridCol w:w="234"/>
        <w:gridCol w:w="234"/>
        <w:gridCol w:w="234"/>
        <w:gridCol w:w="234"/>
        <w:gridCol w:w="234"/>
        <w:gridCol w:w="234"/>
        <w:gridCol w:w="234"/>
        <w:gridCol w:w="234"/>
        <w:gridCol w:w="234"/>
        <w:gridCol w:w="234"/>
        <w:gridCol w:w="234"/>
        <w:gridCol w:w="234"/>
        <w:gridCol w:w="33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41" w:type="dxa"/>
            <w:gridSpan w:val="15"/>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19325" cy="342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19325" cy="342900"/>
                          </a:xfrm>
                          <a:prstGeom prst="rect">
                            <a:avLst/>
                          </a:prstGeom>
                        </pic:spPr>
                      </pic:pic>
                    </a:graphicData>
                  </a:graphic>
                </wp:inline>
              </w:drawing>
            </w:r>
          </w:p>
        </w:tc>
      </w:tr>
    </w:tbl>
    <w:tbl>
      <w:tblPr>
        <w:tblW w:w="3071" w:type="dxa"/>
        <w:jc w:val="left"/>
        <w:tblInd w:w="0" w:type="dxa"/>
        <w:tblLayout w:type="fixed"/>
        <w:tblCellMar>
          <w:top w:w="28" w:type="dxa"/>
          <w:left w:w="28" w:type="dxa"/>
          <w:bottom w:w="28" w:type="dxa"/>
          <w:right w:w="28" w:type="dxa"/>
        </w:tblCellMar>
      </w:tblPr>
      <w:tblGrid>
        <w:gridCol w:w="124"/>
        <w:gridCol w:w="109"/>
        <w:gridCol w:w="109"/>
        <w:gridCol w:w="797"/>
        <w:gridCol w:w="797"/>
        <w:gridCol w:w="11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Sean McHugh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&amp;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(678) 791-7615</w:t>
            </w:r>
          </w:p>
        </w:tc>
      </w:tr>
    </w:tbl>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8"/>
        </w:rPr>
        <w:t>Carter</w:t>
      </w:r>
      <w:r>
        <w:rPr>
          <w:color w:val="000000"/>
        </w:rPr>
        <w:t>’</w:t>
      </w:r>
      <w:r>
        <w:rPr>
          <w:rFonts w:ascii="Times New Roman;serif" w:hAnsi="Times New Roman;serif"/>
          <w:b/>
          <w:color w:val="000000"/>
          <w:sz w:val="28"/>
        </w:rPr>
        <w:t>s, Inc. Reports Second Quarter Fiscal 2025 Results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Net sales $585 million vs. $564 million in Q2 2024; growth of 4%</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Diluted EPS $0.01 vs. $0.76 in Q2 2024; adjusted diluted EPS $0.17 vs. $0.76 in Q2 2024</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4"/>
        </w:rPr>
        <w:t>Returned $38 million to shareholders through dividends in the first half of fiscal 2025</w:t>
      </w:r>
    </w:p>
    <w:p>
      <w:pPr>
        <w:pStyle w:val="TextBody"/>
        <w:bidi w:val="0"/>
        <w:spacing w:lineRule="auto" w:line="417" w:before="0" w:after="240"/>
        <w:ind w:left="0" w:right="0" w:hanging="360"/>
        <w:jc w:val="left"/>
        <w:rPr/>
      </w:pPr>
      <w:r>
        <w:rPr>
          <w:color w:val="000000"/>
        </w:rPr>
        <w:t>•</w:t>
      </w:r>
      <w:r>
        <w:rPr>
          <w:rFonts w:ascii="Times New Roman;serif" w:hAnsi="Times New Roman;serif"/>
          <w:b/>
          <w:color w:val="000000"/>
          <w:sz w:val="24"/>
        </w:rPr>
        <w:t>New CEO Palladini shares insights and key learnings from first 100 days in role</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ATLANTA, July 25, 2025 — Carter’s, Inc. (NYSE:CRI), North America’s largest and most-enduring apparel company exclusively for babies and young children, today reported its second quarter fiscal 2025 results.</w:t>
      </w:r>
    </w:p>
    <w:p>
      <w:pPr>
        <w:pStyle w:val="TextBody"/>
        <w:bidi w:val="0"/>
        <w:spacing w:lineRule="auto" w:line="417" w:before="0" w:after="120"/>
        <w:jc w:val="left"/>
        <w:rPr>
          <w:color w:val="000000"/>
        </w:rPr>
      </w:pPr>
      <w:r>
        <w:rPr>
          <w:color w:val="000000"/>
        </w:rPr>
        <w:t>“</w:t>
      </w:r>
      <w:r>
        <w:rPr>
          <w:rFonts w:ascii="Times New Roman;serif" w:hAnsi="Times New Roman;serif"/>
          <w:b w:val="false"/>
          <w:color w:val="000000"/>
          <w:sz w:val="24"/>
        </w:rPr>
        <w:t>Our second quarter sales performance showed stabilization and momentum, particularly in our direct-to-consumer businesses, which achieved comparable sales growth in the U.S., Canada, and Mexico,” said Douglas C. Palladini, Chief Executive Officer &amp; President. “We are encouraged by improving business trends, particularly in U.S. Retail, where store traffic, purchase conversion, and demand for our core Baby apparel products all demonstrated momentum in the second quarter.</w:t>
      </w:r>
    </w:p>
    <w:p>
      <w:pPr>
        <w:pStyle w:val="TextBody"/>
        <w:bidi w:val="0"/>
        <w:spacing w:lineRule="auto" w:line="417" w:before="0" w:after="120"/>
        <w:jc w:val="left"/>
        <w:rPr>
          <w:color w:val="000000"/>
        </w:rPr>
      </w:pPr>
      <w:r>
        <w:rPr>
          <w:color w:val="000000"/>
        </w:rPr>
        <w:t>“</w:t>
      </w:r>
      <w:r>
        <w:rPr>
          <w:rFonts w:ascii="Times New Roman;serif" w:hAnsi="Times New Roman;serif"/>
          <w:b w:val="false"/>
          <w:color w:val="000000"/>
          <w:sz w:val="24"/>
        </w:rPr>
        <w:t>I am disappointed, however, in our decline in profitability in the quarter, affected in part by selective investments in pricing, new stores, and more normalized levels of performance-based compensation. We’ve also begun to see some impact from higher tariffs imposed on product imported into the United States. Returning Carter’s to long-term, sustainable, and profitable growth is our highest imperative and we believe we are making informed and thoughtful investments to accomplish this objective.</w:t>
      </w:r>
    </w:p>
    <w:p>
      <w:pPr>
        <w:pStyle w:val="TextBody"/>
        <w:bidi w:val="0"/>
        <w:spacing w:lineRule="auto" w:line="417" w:before="0" w:after="120"/>
        <w:jc w:val="left"/>
        <w:rPr>
          <w:color w:val="000000"/>
        </w:rPr>
      </w:pPr>
      <w:r>
        <w:rPr>
          <w:color w:val="000000"/>
        </w:rPr>
        <w:t>“</w:t>
      </w:r>
      <w:r>
        <w:rPr>
          <w:rFonts w:ascii="Times New Roman;serif" w:hAnsi="Times New Roman;serif"/>
          <w:b w:val="false"/>
          <w:color w:val="000000"/>
          <w:sz w:val="24"/>
        </w:rPr>
        <w:t>In my first 100 days with Carter’s, I have come to more fully appreciate the strong emotional connection our brands have with consumers and the privilege Carter’s has as a part of families’ lives when raising young children. Our return to growth will be fueled by a commitment to serve a new generation of young families with brands and products that emphasize high quality, modern design, and exceptional value.</w:t>
      </w:r>
    </w:p>
    <w:p>
      <w:pPr>
        <w:pStyle w:val="TextBody"/>
        <w:bidi w:val="0"/>
        <w:spacing w:lineRule="auto" w:line="417" w:before="0" w:after="120"/>
        <w:jc w:val="left"/>
        <w:rPr>
          <w:color w:val="000000"/>
        </w:rPr>
      </w:pPr>
      <w:r>
        <w:rPr>
          <w:color w:val="000000"/>
        </w:rPr>
        <w:t>“</w:t>
      </w:r>
      <w:r>
        <w:rPr>
          <w:rFonts w:ascii="Times New Roman;serif" w:hAnsi="Times New Roman;serif"/>
          <w:b w:val="false"/>
          <w:color w:val="000000"/>
          <w:sz w:val="24"/>
        </w:rPr>
        <w:t xml:space="preserve">Across nearly 40 years of building and nurturing brands, I’ve consistently seen that thoughtful, measured investment drives profitable growth, and that’s exactly the path I believe we’re back on at Carter’s. I’ve also learned that the strongest brands are those with a clear sense of identity and purpose, knowing exactly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what they stand for and what they don’t. And most importantly, lasting consumer loyalty comes from balancing the transactional with the emotional, combining value with meaning. At Carter’s, we are returning to all these fundamentals.</w:t>
      </w:r>
    </w:p>
    <w:p>
      <w:pPr>
        <w:pStyle w:val="TextBody"/>
        <w:bidi w:val="0"/>
        <w:spacing w:lineRule="auto" w:line="417" w:before="0" w:after="120"/>
        <w:jc w:val="left"/>
        <w:rPr>
          <w:color w:val="000000"/>
        </w:rPr>
      </w:pPr>
      <w:r>
        <w:rPr>
          <w:color w:val="000000"/>
        </w:rPr>
        <w:t>“</w:t>
      </w:r>
      <w:r>
        <w:rPr>
          <w:rFonts w:ascii="Times New Roman;serif" w:hAnsi="Times New Roman;serif"/>
          <w:b w:val="false"/>
          <w:color w:val="000000"/>
          <w:sz w:val="24"/>
        </w:rPr>
        <w:t>My confidence in our future prospects emanates from the trust placed in Carter’s by generations of families: We are the largest and most significant company focused on young children and we must continue to honor that very special relationship at a very special time in peoples’ lives.”</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Adjustments to Reported GAAP Results</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the results presented in this earnings release in accordance with GAAP, the Company has provided adjusted, non-GAAP financial measurements, as presented below. The Company believes these non-GAAP financial measurements provide a meaningful comparison of the Company’s results and afford investors a view of what management considers to be the Company’s underlying performance. These measures are presented for informational purposes only. See “Reconciliation of Adjusted Results to GAAP” section of this release for additional disclosures and reconciliations regarding these non-GAAP financial measures. </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Second quarter and first half of fiscal 2025 results included expenses related to operating model improvement initiatives and leadership transition costs. There were no adjustments in the second quarter and first half of fiscal 2024.</w:t>
      </w:r>
    </w:p>
    <w:tbl>
      <w:tblPr>
        <w:tblW w:w="10205" w:type="dxa"/>
        <w:jc w:val="left"/>
        <w:tblInd w:w="0" w:type="dxa"/>
        <w:tblLayout w:type="fixed"/>
        <w:tblCellMar>
          <w:top w:w="28" w:type="dxa"/>
          <w:left w:w="28" w:type="dxa"/>
          <w:bottom w:w="28" w:type="dxa"/>
          <w:right w:w="28" w:type="dxa"/>
        </w:tblCellMar>
      </w:tblPr>
      <w:tblGrid>
        <w:gridCol w:w="600"/>
        <w:gridCol w:w="262"/>
        <w:gridCol w:w="265"/>
        <w:gridCol w:w="226"/>
        <w:gridCol w:w="557"/>
        <w:gridCol w:w="127"/>
        <w:gridCol w:w="109"/>
        <w:gridCol w:w="109"/>
        <w:gridCol w:w="109"/>
        <w:gridCol w:w="222"/>
        <w:gridCol w:w="171"/>
        <w:gridCol w:w="353"/>
        <w:gridCol w:w="109"/>
        <w:gridCol w:w="109"/>
        <w:gridCol w:w="109"/>
        <w:gridCol w:w="199"/>
        <w:gridCol w:w="398"/>
        <w:gridCol w:w="110"/>
        <w:gridCol w:w="109"/>
        <w:gridCol w:w="109"/>
        <w:gridCol w:w="109"/>
        <w:gridCol w:w="198"/>
        <w:gridCol w:w="487"/>
        <w:gridCol w:w="110"/>
        <w:gridCol w:w="109"/>
        <w:gridCol w:w="109"/>
        <w:gridCol w:w="109"/>
        <w:gridCol w:w="109"/>
        <w:gridCol w:w="109"/>
        <w:gridCol w:w="109"/>
        <w:gridCol w:w="226"/>
        <w:gridCol w:w="557"/>
        <w:gridCol w:w="127"/>
        <w:gridCol w:w="109"/>
        <w:gridCol w:w="109"/>
        <w:gridCol w:w="109"/>
        <w:gridCol w:w="222"/>
        <w:gridCol w:w="171"/>
        <w:gridCol w:w="353"/>
        <w:gridCol w:w="109"/>
        <w:gridCol w:w="109"/>
        <w:gridCol w:w="109"/>
        <w:gridCol w:w="198"/>
        <w:gridCol w:w="486"/>
        <w:gridCol w:w="110"/>
        <w:gridCol w:w="109"/>
        <w:gridCol w:w="109"/>
        <w:gridCol w:w="109"/>
        <w:gridCol w:w="198"/>
        <w:gridCol w:w="487"/>
        <w:gridCol w:w="169"/>
      </w:tblGrid>
      <w:tr>
        <w:trPr/>
        <w:tc>
          <w:tcPr>
            <w:tcW w:w="6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gridSpan w:val="4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 Fiscal Quarter</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earnings per share)</w:t>
            </w:r>
          </w:p>
        </w:tc>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3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w:t>
            </w: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3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w:t>
            </w: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model improvement costs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Leadership transition costs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0.17</w:t>
            </w:r>
            <w:r>
              <w:rPr>
                <w:color w:val="000000"/>
              </w:rPr>
              <w:t>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w:t>
            </w:r>
            <w:r>
              <w:rPr>
                <w:color w:val="000000"/>
              </w:rPr>
              <w:t>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w:t>
            </w:r>
            <w:r>
              <w:rPr>
                <w:color w:val="000000"/>
              </w:rPr>
              <w:t>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91"/>
        <w:gridCol w:w="250"/>
        <w:gridCol w:w="252"/>
        <w:gridCol w:w="223"/>
        <w:gridCol w:w="550"/>
        <w:gridCol w:w="126"/>
        <w:gridCol w:w="109"/>
        <w:gridCol w:w="109"/>
        <w:gridCol w:w="109"/>
        <w:gridCol w:w="222"/>
        <w:gridCol w:w="170"/>
        <w:gridCol w:w="348"/>
        <w:gridCol w:w="109"/>
        <w:gridCol w:w="109"/>
        <w:gridCol w:w="109"/>
        <w:gridCol w:w="197"/>
        <w:gridCol w:w="483"/>
        <w:gridCol w:w="109"/>
        <w:gridCol w:w="109"/>
        <w:gridCol w:w="109"/>
        <w:gridCol w:w="109"/>
        <w:gridCol w:w="197"/>
        <w:gridCol w:w="484"/>
        <w:gridCol w:w="109"/>
        <w:gridCol w:w="109"/>
        <w:gridCol w:w="109"/>
        <w:gridCol w:w="109"/>
        <w:gridCol w:w="109"/>
        <w:gridCol w:w="109"/>
        <w:gridCol w:w="109"/>
        <w:gridCol w:w="223"/>
        <w:gridCol w:w="550"/>
        <w:gridCol w:w="126"/>
        <w:gridCol w:w="109"/>
        <w:gridCol w:w="109"/>
        <w:gridCol w:w="109"/>
        <w:gridCol w:w="222"/>
        <w:gridCol w:w="170"/>
        <w:gridCol w:w="348"/>
        <w:gridCol w:w="109"/>
        <w:gridCol w:w="109"/>
        <w:gridCol w:w="109"/>
        <w:gridCol w:w="197"/>
        <w:gridCol w:w="483"/>
        <w:gridCol w:w="109"/>
        <w:gridCol w:w="109"/>
        <w:gridCol w:w="109"/>
        <w:gridCol w:w="109"/>
        <w:gridCol w:w="197"/>
        <w:gridCol w:w="484"/>
        <w:gridCol w:w="169"/>
      </w:tblGrid>
      <w:tr>
        <w:trPr/>
        <w:tc>
          <w:tcPr>
            <w:tcW w:w="5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4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Half</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earnings per share)</w:t>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94.5</w:t>
            </w: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w:t>
            </w:r>
            <w:r>
              <w:rPr>
                <w:color w:val="000000"/>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model improvement costs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Leadership transition costs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w:t>
            </w:r>
            <w:r>
              <w:rPr>
                <w:color w:val="000000"/>
              </w:rPr>
              <w:t>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94.5</w:t>
            </w:r>
            <w:r>
              <w:rPr>
                <w:color w:val="000000"/>
              </w:rPr>
              <w:t>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65.7</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w:t>
            </w:r>
            <w:r>
              <w:rPr>
                <w:color w:val="000000"/>
              </w:rPr>
              <w:t>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Consolidated Results</w:t>
      </w:r>
    </w:p>
    <w:p>
      <w:pPr>
        <w:pStyle w:val="TextBody"/>
        <w:bidi w:val="0"/>
        <w:spacing w:lineRule="auto" w:line="417" w:before="0" w:after="0"/>
        <w:jc w:val="left"/>
        <w:rPr>
          <w:rFonts w:ascii="Times New Roman;serif" w:hAnsi="Times New Roman;serif"/>
          <w:b w:val="false"/>
          <w:i/>
          <w:color w:val="000000"/>
          <w:sz w:val="24"/>
        </w:rPr>
      </w:pPr>
      <w:r>
        <w:rPr>
          <w:rFonts w:ascii="Times New Roman;serif" w:hAnsi="Times New Roman;serif"/>
          <w:b w:val="false"/>
          <w:i/>
          <w:color w:val="000000"/>
          <w:sz w:val="24"/>
        </w:rPr>
        <w:t>Second Quarter of Fiscal 2025 compared to Second Quarter of Fiscal 2024</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sales increased $20.9 million, or 3.7%, to $585.3 million, compared to $564.4 million in the second quarter of fiscal 2024, driven by growth in International and U.S. Retail segment sales. International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U.S. Retail segment net sales increased 14.1% and 3.2%, respectively, while U.S. Wholesale segment net sales were comparable to the prior year. U.S. Retail comparable net sales increased 2.2%. Changes in foreign currency exchange rates in the second quarter of fiscal 2025, as compared to the second quarter of fiscal 2024, had an unfavorable effect on consolidated net sales of approximately $3.1 million, or 0.5%.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Operating income decreased $35.4 million, or 89.7% to $4.0 million, compared to $39.5 million in the second quarter of fiscal 2024. Operating margin decreased to 0.7%, compared to 7.0% in the prior year, reflecting investments in pricing and new and remodeled stores, costs related to operating model improvement initiatives and leadership transition, and increased performance-based compensation provisions.</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operating income (a non-GAAP measure) decreased $27.7 million, or 70.2% to $11.8 million, compared to $39.5 million in the second quarter of fiscal 2024. Adjusted operating margin decreased to 2.0%, compared to 7.0% in the prior year period, principally due to investments in pricing and new and remodeled stores and increased performance-based compensation provisions.</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was $0.4 million, or $0.01 per diluted share, compared to $27.6 million, or $0.76 per diluted share, in the second quarter of fiscal 2024. </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Adjusted net income (a non-GAAP measure) was $6.3 million, compared to $27.6 million in the second quarter of fiscal 2024. Adjusted earnings per diluted share (a non-GAAP measure) was $0.17, compared to $0.76 in the prior-year quarter. </w:t>
      </w:r>
    </w:p>
    <w:p>
      <w:pPr>
        <w:pStyle w:val="TextBody"/>
        <w:bidi w:val="0"/>
        <w:spacing w:lineRule="auto" w:line="417" w:before="0" w:after="0"/>
        <w:jc w:val="left"/>
        <w:rPr>
          <w:rFonts w:ascii="Times New Roman;serif" w:hAnsi="Times New Roman;serif"/>
          <w:b w:val="false"/>
          <w:i/>
          <w:color w:val="000000"/>
          <w:sz w:val="24"/>
        </w:rPr>
      </w:pPr>
      <w:r>
        <w:rPr>
          <w:rFonts w:ascii="Times New Roman;serif" w:hAnsi="Times New Roman;serif"/>
          <w:b w:val="false"/>
          <w:i/>
          <w:color w:val="000000"/>
          <w:sz w:val="24"/>
        </w:rPr>
        <w:t>First Half of Fiscal 2025 compared to First Half of Fiscal 2024</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sales decreased $10.8 million, or 0.9%, to $1.22 billion, compared to $1.23 billion in the first half of 2024, reflecting lower U.S. Wholesale and U.S. Retail segment sales and unfavorable foreign currency exchange rates, partially offset by higher International segment sales. U.S. Wholesale and U.S. Retail segment net sales declined 3.1% and 0.7%, respectively, while International segment net sales grew 4.1%. U.S. Retail comparable net sales declined 1.6%. Changes in foreign currency exchange rates in the first half of fiscal 2025, as compared to the first half of fiscal 2024, had an unfavorable effect on consolidated net sales of approximately $9.5 million, or 0.8%.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Operating income decreased $64.3 million, or 68.1% to $30.1 million, compared to $94.5 million in the first half of fiscal 2024. Operating margin decreased to 2.5%, compared to 7.7% in the prior year period, reflecting investments in pricing and new and remodeled stores, spending deleverage, costs related to operating model improvement initiatives and leadership transition, and increased performance-based compensation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operating income (a non-GAAP measure) decreased $47.3 million, or 50.1% to $47.1 million, compared to $94.5 million in the first half of fiscal 2024. Adjusted operating margin decreased to 3.9%, compared to 7.7% in the prior year period, principally due to investments in pricing and new and remodeled stores, increased performance-based compensation provisions, and higher distribution costs.</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Net income was $16.0 million, or $0.43 per diluted share, compared to $65.7 million, or $1.80 per diluted share, in the first half of fiscal 2024.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Adjusted net income (a non-GAAP measure) was $30.1 million, compared to $65.7 million in the first half of fiscal 2024. Adjusted earnings per diluted share (a non-GAAP measure) was $0.83, compared to adjusted earnings per diluted share of $1.80 in the first half of fiscal 2024.</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Net cash used in operations in the first half of fiscal 2025 was $8.3 million, compared to net cash provided by operations of $91.7 million in the first half of fiscal 2024. The change in net cash from operating activities was primarily driven by lower earnings and higher inventory levels.</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See “Reconciliation of Adjusted Results to GAAP” sections of this release for additional disclosures regarding non-GAAP measures. </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Return of Capital</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In the second quarter of fiscal 2025, the Company paid a cash dividend of $0.25 per common share totaling $9.1 million. In the first half of fiscal 2025, the Company paid cash dividends totaling $38.1 million. No shares were repurchased in the first half of fiscal 2025.</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Company’s Board of Directors will evaluate future distributions of capital, including dividends and share repurchases, based on a number of factors, including business conditions, the Company’s future financial performance, investment priorities, and other considerations.</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 xml:space="preserve">2025 Business Outlook and Tariffs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continues to closely monitor the Administration’s proposed plans to implement significant new tariffs on products imported into the United States from a wide range of countries. If implemented, these additional tariffs would add substantially to the approximately $110 million in duties on imported product paid by the Company in fiscal 2024.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has estimated that the gross pre-tax earnings impact of additional import duties under an additional baseline tariff of 30% for China, 20% for Vietnam, 19% for Indonesia, and 10% for all other countries is expected to be approximately $125 million to $150 million on an annualized basis. Over time, the Company intends to offset these additional costs through a combination of changes to its product assortments, cost sharing with its vendor partners, changes to the mix of its production by country, and raising prices to end consumers and its wholesale customers. In the second half of fiscal year 2025,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Company anticipates a net additional baseline tariff impact to pre-tax earnings of approximately $35 million. </w:t>
      </w:r>
    </w:p>
    <w:p>
      <w:pPr>
        <w:pStyle w:val="TextBody"/>
        <w:bidi w:val="0"/>
        <w:spacing w:lineRule="auto" w:line="417" w:before="0" w:after="120"/>
        <w:jc w:val="left"/>
        <w:rPr>
          <w:rFonts w:ascii="Times New Roman;serif" w:hAnsi="Times New Roman;serif"/>
          <w:b w:val="false"/>
          <w:color w:val="000000"/>
          <w:sz w:val="24"/>
        </w:rPr>
      </w:pPr>
      <w:r>
        <w:rPr>
          <w:rFonts w:ascii="Times New Roman;serif" w:hAnsi="Times New Roman;serif"/>
          <w:b w:val="false"/>
          <w:color w:val="000000"/>
          <w:sz w:val="24"/>
        </w:rPr>
        <w:t>The gross amount of additional costs from incremental tariffs and the Company’s actions to offset them will depend heavily on the final tariff schemes established by the U.S. government, if any.</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As announced previously, given the Company’s leadership transition in April 2025 and the ongoing and significant uncertainty surrounding proposed new tariffs and potential related impact on its business, the Company has suspended its fiscal 2025 guidance.</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lineRule="auto" w:line="417" w:before="0" w:after="120"/>
        <w:jc w:val="left"/>
        <w:rPr/>
      </w:pPr>
      <w:r>
        <w:rPr>
          <w:rFonts w:ascii="Times New Roman;serif" w:hAnsi="Times New Roman;serif"/>
          <w:b w:val="false"/>
          <w:color w:val="000000"/>
          <w:sz w:val="24"/>
        </w:rPr>
        <w:t xml:space="preserve">The Company will hold a conference call with investors to discuss second quarter fiscal 2025 results and provide an update on its business on July 25, 2025 at 8:30 a.m. Eastern Daylight Time. To listen to a live webcast and view the accompanying presentation materials, please visit ir.carters.com and select links for “News &amp; Events” followed by “Events.” To access the call by phone, please preregister on </w:t>
      </w:r>
      <w:r>
        <w:rPr>
          <w:rFonts w:ascii="Times New Roman;serif" w:hAnsi="Times New Roman;serif"/>
          <w:b w:val="false"/>
          <w:color w:val="0000FF"/>
          <w:sz w:val="24"/>
        </w:rPr>
        <w:t xml:space="preserve">https://register-conf.media-server.com/register/BIad53137c582e414e8238ddf1d23ed92d </w:t>
      </w:r>
      <w:r>
        <w:rPr>
          <w:rFonts w:ascii="Times New Roman;serif" w:hAnsi="Times New Roman;serif"/>
          <w:b w:val="false"/>
          <w:color w:val="000000"/>
          <w:sz w:val="24"/>
        </w:rPr>
        <w:t>to receive your dial-in number and unique passcode.</w:t>
      </w:r>
    </w:p>
    <w:p>
      <w:pPr>
        <w:pStyle w:val="TextBody"/>
        <w:bidi w:val="0"/>
        <w:spacing w:lineRule="auto" w:line="417" w:before="0" w:after="240"/>
        <w:jc w:val="left"/>
        <w:rPr/>
      </w:pPr>
      <w:r>
        <w:rPr>
          <w:rFonts w:ascii="Times New Roman;serif" w:hAnsi="Times New Roman;serif"/>
          <w:b w:val="false"/>
          <w:color w:val="000000"/>
          <w:sz w:val="24"/>
        </w:rPr>
        <w:t xml:space="preserve">A webcast replay will be available shortly after the conclusion of the call at </w:t>
      </w:r>
      <w:r>
        <w:rPr>
          <w:rFonts w:ascii="Times New Roman;serif" w:hAnsi="Times New Roman;serif"/>
          <w:b w:val="false"/>
          <w:color w:val="0000FF"/>
          <w:sz w:val="24"/>
        </w:rPr>
        <w:t>ir.carters.com</w:t>
      </w:r>
      <w:r>
        <w:rPr>
          <w:rFonts w:ascii="Times New Roman;serif" w:hAnsi="Times New Roman;serif"/>
          <w:b w:val="false"/>
          <w:color w:val="000000"/>
          <w:sz w:val="24"/>
        </w:rPr>
        <w:t>.</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 xml:space="preserve">About Carter’s, Inc. </w:t>
      </w:r>
    </w:p>
    <w:p>
      <w:pPr>
        <w:pStyle w:val="TextBody"/>
        <w:bidi w:val="0"/>
        <w:spacing w:lineRule="auto" w:line="417" w:before="0" w:after="240"/>
        <w:jc w:val="left"/>
        <w:rPr/>
      </w:pPr>
      <w:r>
        <w:rPr>
          <w:rFonts w:ascii="Times New Roman;serif" w:hAnsi="Times New Roman;serif"/>
          <w:b w:val="false"/>
          <w:color w:val="000000"/>
          <w:sz w:val="24"/>
        </w:rPr>
        <w:t xml:space="preserve">Carter’s, Inc. is North America’s largest and most-enduring apparel company exclusively for babies and young children. The Company’s core brands are </w:t>
      </w:r>
      <w:r>
        <w:rPr>
          <w:rFonts w:ascii="Times New Roman;serif" w:hAnsi="Times New Roman;serif"/>
          <w:b w:val="false"/>
          <w:i/>
          <w:color w:val="000000"/>
          <w:sz w:val="24"/>
        </w:rPr>
        <w:t>Carter’s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OshKosh B’gosh</w:t>
      </w:r>
      <w:r>
        <w:rPr>
          <w:rFonts w:ascii="Times New Roman;serif" w:hAnsi="Times New Roman;serif"/>
          <w:b w:val="false"/>
          <w:color w:val="000000"/>
          <w:sz w:val="24"/>
        </w:rPr>
        <w:t xml:space="preserve">, iconic and among the sector’s most trusted names. These brands are sold through more than 1,000 Company-owned stores in the United States, Canada, and Mexico online at </w:t>
      </w:r>
      <w:r>
        <w:rPr>
          <w:rFonts w:ascii="Times New Roman;serif" w:hAnsi="Times New Roman;serif"/>
          <w:b w:val="false"/>
          <w:color w:val="0000FF"/>
          <w:sz w:val="24"/>
        </w:rPr>
        <w:t>www.carters.com</w:t>
      </w:r>
      <w:r>
        <w:rPr>
          <w:rFonts w:ascii="Times New Roman;serif" w:hAnsi="Times New Roman;serif"/>
          <w:b w:val="false"/>
          <w:color w:val="000000"/>
          <w:sz w:val="24"/>
        </w:rPr>
        <w:t xml:space="preserve">, </w:t>
      </w:r>
      <w:r>
        <w:rPr>
          <w:rFonts w:ascii="Times New Roman;serif" w:hAnsi="Times New Roman;serif"/>
          <w:b w:val="false"/>
          <w:color w:val="0000FF"/>
          <w:sz w:val="24"/>
        </w:rPr>
        <w:t>www.oshkosh.com</w:t>
      </w:r>
      <w:r>
        <w:rPr>
          <w:rFonts w:ascii="Times New Roman;serif" w:hAnsi="Times New Roman;serif"/>
          <w:b w:val="false"/>
          <w:color w:val="000000"/>
          <w:sz w:val="24"/>
        </w:rPr>
        <w:t xml:space="preserve">, </w:t>
      </w:r>
      <w:r>
        <w:rPr>
          <w:rFonts w:ascii="Times New Roman;serif" w:hAnsi="Times New Roman;serif"/>
          <w:b w:val="false"/>
          <w:color w:val="0000FF"/>
          <w:sz w:val="24"/>
        </w:rPr>
        <w:t>www.cartersoshkosh.ca</w:t>
      </w:r>
      <w:r>
        <w:rPr>
          <w:rFonts w:ascii="Times New Roman;serif" w:hAnsi="Times New Roman;serif"/>
          <w:b w:val="false"/>
          <w:color w:val="000000"/>
          <w:sz w:val="24"/>
        </w:rPr>
        <w:t xml:space="preserve">, and </w:t>
      </w:r>
      <w:r>
        <w:rPr>
          <w:rFonts w:ascii="Times New Roman;serif" w:hAnsi="Times New Roman;serif"/>
          <w:b w:val="false"/>
          <w:color w:val="0000FF"/>
          <w:sz w:val="24"/>
        </w:rPr>
        <w:t xml:space="preserve">www.carters.com.mx. </w:t>
      </w:r>
      <w:r>
        <w:rPr>
          <w:rFonts w:ascii="Times New Roman;serif" w:hAnsi="Times New Roman;serif"/>
          <w:b w:val="false"/>
          <w:color w:val="000000"/>
          <w:sz w:val="24"/>
        </w:rPr>
        <w:t xml:space="preserve">Carter’s also is the largest supplier of baby and young children’s apparel to North America’s biggest retailers. The Company’s </w:t>
      </w:r>
      <w:r>
        <w:rPr>
          <w:rFonts w:ascii="Times New Roman;serif" w:hAnsi="Times New Roman;serif"/>
          <w:b w:val="false"/>
          <w:i/>
          <w:color w:val="000000"/>
          <w:sz w:val="24"/>
        </w:rPr>
        <w:t>Child of Mine</w:t>
      </w:r>
      <w:r>
        <w:rPr>
          <w:color w:val="000000"/>
        </w:rPr>
        <w:t xml:space="preserve"> </w:t>
      </w:r>
      <w:r>
        <w:rPr>
          <w:rFonts w:ascii="Times New Roman;serif" w:hAnsi="Times New Roman;serif"/>
          <w:b w:val="false"/>
          <w:color w:val="000000"/>
          <w:sz w:val="24"/>
        </w:rPr>
        <w:t xml:space="preserve">brand is available exclusively at Walmart, its </w:t>
      </w:r>
      <w:r>
        <w:rPr>
          <w:rFonts w:ascii="Times New Roman;serif" w:hAnsi="Times New Roman;serif"/>
          <w:b w:val="false"/>
          <w:i/>
          <w:color w:val="000000"/>
          <w:sz w:val="24"/>
        </w:rPr>
        <w:t>Just One You</w:t>
      </w:r>
      <w:r>
        <w:rPr>
          <w:color w:val="000000"/>
        </w:rPr>
        <w:t xml:space="preserve"> </w:t>
      </w:r>
      <w:r>
        <w:rPr>
          <w:rFonts w:ascii="Times New Roman;serif" w:hAnsi="Times New Roman;serif"/>
          <w:b w:val="false"/>
          <w:color w:val="000000"/>
          <w:sz w:val="24"/>
        </w:rPr>
        <w:t xml:space="preserve">brand is available at Target, and its </w:t>
      </w:r>
      <w:r>
        <w:rPr>
          <w:rFonts w:ascii="Times New Roman;serif" w:hAnsi="Times New Roman;serif"/>
          <w:b w:val="false"/>
          <w:i/>
          <w:color w:val="000000"/>
          <w:sz w:val="24"/>
        </w:rPr>
        <w:t>Simple Joys</w:t>
      </w:r>
      <w:r>
        <w:rPr>
          <w:color w:val="000000"/>
        </w:rPr>
        <w:t xml:space="preserve"> </w:t>
      </w:r>
      <w:r>
        <w:rPr>
          <w:rFonts w:ascii="Times New Roman;serif" w:hAnsi="Times New Roman;serif"/>
          <w:b w:val="false"/>
          <w:color w:val="000000"/>
          <w:sz w:val="24"/>
        </w:rPr>
        <w:t xml:space="preserve">brand is available on Amazon.com. The Company’s emerging brands include </w:t>
      </w:r>
      <w:r>
        <w:rPr>
          <w:rFonts w:ascii="Times New Roman;serif" w:hAnsi="Times New Roman;serif"/>
          <w:b w:val="false"/>
          <w:i/>
          <w:color w:val="000000"/>
          <w:sz w:val="24"/>
        </w:rPr>
        <w:t>Little Planet</w:t>
      </w:r>
      <w:r>
        <w:rPr>
          <w:rFonts w:ascii="Times New Roman;serif" w:hAnsi="Times New Roman;serif"/>
          <w:b w:val="false"/>
          <w:color w:val="000000"/>
          <w:sz w:val="24"/>
        </w:rPr>
        <w:t xml:space="preserve">, crafted with organic fabrics and sustainable materials, </w:t>
      </w:r>
      <w:r>
        <w:rPr>
          <w:rFonts w:ascii="Times New Roman;serif" w:hAnsi="Times New Roman;serif"/>
          <w:b w:val="false"/>
          <w:i/>
          <w:color w:val="000000"/>
          <w:sz w:val="24"/>
        </w:rPr>
        <w:t>Otter Avenue</w:t>
      </w:r>
      <w:r>
        <w:rPr>
          <w:rFonts w:ascii="Times New Roman;serif" w:hAnsi="Times New Roman;serif"/>
          <w:b w:val="false"/>
          <w:color w:val="000000"/>
          <w:sz w:val="24"/>
        </w:rPr>
        <w:t xml:space="preserve">, a toddler-focused apparel brand, and </w:t>
      </w:r>
      <w:r>
        <w:rPr>
          <w:rFonts w:ascii="Times New Roman;serif" w:hAnsi="Times New Roman;serif"/>
          <w:b w:val="false"/>
          <w:i/>
          <w:color w:val="000000"/>
          <w:sz w:val="24"/>
        </w:rPr>
        <w:t>Skip Hop</w:t>
      </w:r>
      <w:r>
        <w:rPr>
          <w:rFonts w:ascii="Times New Roman;serif" w:hAnsi="Times New Roman;serif"/>
          <w:b w:val="false"/>
          <w:color w:val="000000"/>
          <w:sz w:val="24"/>
        </w:rPr>
        <w:t xml:space="preserve">, baby essentials from tubs to toys. Carter’s is headquartered in Atlanta, Georgia. Additional information may be found at </w:t>
      </w:r>
      <w:r>
        <w:rPr>
          <w:rFonts w:ascii="Times New Roman;serif" w:hAnsi="Times New Roman;serif"/>
          <w:b w:val="false"/>
          <w:color w:val="0000FF"/>
          <w:sz w:val="24"/>
        </w:rPr>
        <w:t>www.carters.com</w:t>
      </w:r>
      <w:r>
        <w:rPr>
          <w:rFonts w:ascii="Times New Roman;serif" w:hAnsi="Times New Roman;serif"/>
          <w:b w:val="false"/>
          <w:color w:val="000000"/>
          <w:sz w:val="24"/>
        </w:rPr>
        <w:t>.</w: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Forward Looking Statements</w: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involve risks and uncertainties that could cause actual results and outcomes to differ materially from any forward-looking statements or views expressed in this press release. These risks and uncertainties include, but are not limited to, those disclosed in Part II, Item 1A. “Risk Factors” of the Company’s Quarterly Report on Form 10-Q for the fiscal quarter ended June 28, 2025 and Part I, Item 1A. “Risk Factors” of the Company’s Annual Report on Form 10-K for the fiscal year ended December 28, 2024,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0" w:after="240"/>
        <w:jc w:val="left"/>
        <w:rPr>
          <w:rFonts w:ascii="Times New Roman;serif" w:hAnsi="Times New Roman;serif"/>
          <w:b w:val="false"/>
          <w:color w:val="000000"/>
          <w:sz w:val="24"/>
        </w:rPr>
      </w:pPr>
      <w:r>
        <w:rPr>
          <w:rFonts w:ascii="Times New Roman;serif" w:hAnsi="Times New Roman;serif"/>
          <w:b w:val="false"/>
          <w:color w:val="000000"/>
          <w:sz w:val="24"/>
        </w:rPr>
        <w:t>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press release does not constitute an admission by the Company or any other person that the events or circumstances described in such statement are material.</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9092" w:type="dxa"/>
        <w:jc w:val="center"/>
        <w:tblInd w:w="0" w:type="dxa"/>
        <w:tblLayout w:type="fixed"/>
        <w:tblCellMar>
          <w:top w:w="28" w:type="dxa"/>
          <w:left w:w="28" w:type="dxa"/>
          <w:bottom w:w="28" w:type="dxa"/>
          <w:right w:w="28" w:type="dxa"/>
        </w:tblCellMar>
      </w:tblPr>
      <w:tblGrid>
        <w:gridCol w:w="1227"/>
        <w:gridCol w:w="1082"/>
        <w:gridCol w:w="1095"/>
        <w:gridCol w:w="217"/>
        <w:gridCol w:w="817"/>
        <w:gridCol w:w="121"/>
        <w:gridCol w:w="109"/>
        <w:gridCol w:w="109"/>
        <w:gridCol w:w="109"/>
        <w:gridCol w:w="217"/>
        <w:gridCol w:w="817"/>
        <w:gridCol w:w="121"/>
        <w:gridCol w:w="109"/>
        <w:gridCol w:w="109"/>
        <w:gridCol w:w="109"/>
        <w:gridCol w:w="196"/>
        <w:gridCol w:w="871"/>
        <w:gridCol w:w="109"/>
        <w:gridCol w:w="109"/>
        <w:gridCol w:w="109"/>
        <w:gridCol w:w="109"/>
        <w:gridCol w:w="196"/>
        <w:gridCol w:w="87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564,434 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39,452 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94,488 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34,364 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84,309 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provision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declared and paid per common share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BUSINESS SEGMENT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2890" w:type="dxa"/>
        <w:jc w:val="center"/>
        <w:tblInd w:w="0" w:type="dxa"/>
        <w:tblLayout w:type="fixed"/>
        <w:tblCellMar>
          <w:top w:w="28" w:type="dxa"/>
          <w:left w:w="28" w:type="dxa"/>
          <w:bottom w:w="28" w:type="dxa"/>
          <w:right w:w="28" w:type="dxa"/>
        </w:tblCellMar>
      </w:tblPr>
      <w:tblGrid>
        <w:gridCol w:w="490"/>
        <w:gridCol w:w="316"/>
        <w:gridCol w:w="245"/>
        <w:gridCol w:w="196"/>
        <w:gridCol w:w="736"/>
        <w:gridCol w:w="109"/>
        <w:gridCol w:w="109"/>
        <w:gridCol w:w="109"/>
        <w:gridCol w:w="109"/>
        <w:gridCol w:w="490"/>
        <w:gridCol w:w="419"/>
        <w:gridCol w:w="277"/>
        <w:gridCol w:w="109"/>
        <w:gridCol w:w="109"/>
        <w:gridCol w:w="109"/>
        <w:gridCol w:w="196"/>
        <w:gridCol w:w="736"/>
        <w:gridCol w:w="109"/>
        <w:gridCol w:w="109"/>
        <w:gridCol w:w="109"/>
        <w:gridCol w:w="109"/>
        <w:gridCol w:w="490"/>
        <w:gridCol w:w="419"/>
        <w:gridCol w:w="277"/>
        <w:gridCol w:w="109"/>
        <w:gridCol w:w="109"/>
        <w:gridCol w:w="109"/>
        <w:gridCol w:w="109"/>
        <w:gridCol w:w="109"/>
        <w:gridCol w:w="109"/>
        <w:gridCol w:w="196"/>
        <w:gridCol w:w="871"/>
        <w:gridCol w:w="109"/>
        <w:gridCol w:w="109"/>
        <w:gridCol w:w="109"/>
        <w:gridCol w:w="109"/>
        <w:gridCol w:w="490"/>
        <w:gridCol w:w="419"/>
        <w:gridCol w:w="277"/>
        <w:gridCol w:w="109"/>
        <w:gridCol w:w="109"/>
        <w:gridCol w:w="109"/>
        <w:gridCol w:w="196"/>
        <w:gridCol w:w="871"/>
        <w:gridCol w:w="109"/>
        <w:gridCol w:w="109"/>
        <w:gridCol w:w="109"/>
        <w:gridCol w:w="109"/>
        <w:gridCol w:w="523"/>
        <w:gridCol w:w="384"/>
        <w:gridCol w:w="324"/>
      </w:tblGrid>
      <w:tr>
        <w:trPr/>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Total Net Sales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w:t>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Segment operating income</w:t>
            </w:r>
            <w:r>
              <w:rPr>
                <w:rFonts w:ascii="Times New Roman;serif" w:hAnsi="Times New Roman;serif"/>
                <w:b/>
                <w:color w:val="000000"/>
                <w:sz w:val="12"/>
                <w:u w:val="single"/>
              </w:rPr>
              <w:t>(1)</w:t>
            </w:r>
            <w:r>
              <w:rPr>
                <w:rFonts w:ascii="Times New Roman;serif" w:hAnsi="Times New Roman;serif"/>
                <w:b/>
                <w:color w:val="000000"/>
                <w:sz w:val="18"/>
                <w:u w:val="single"/>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Items not included in segment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Unallocated corporate expenses</w:t>
            </w:r>
            <w:r>
              <w:rPr>
                <w:color w:val="000000"/>
              </w:rPr>
              <w:t xml:space="preserve"> </w:t>
            </w: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(1)In fiscal 2024, the Company changed its measure of segment profitability to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 which were included in our previous measure of segment profitability. Prior period segment operating income for the fiscal quarter and two fiscal quarters ended June 29, 2024 have been recast to conform to the current presentation.</w:t>
      </w:r>
    </w:p>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10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(3)Primarily related to third-party consulting costs.</w:t>
      </w:r>
    </w:p>
    <w:p>
      <w:pPr>
        <w:pStyle w:val="TextBody"/>
        <w:bidi w:val="0"/>
        <w:spacing w:lineRule="auto" w:line="288" w:before="100" w:after="60"/>
        <w:ind w:left="0" w:right="0" w:hanging="540"/>
        <w:jc w:val="left"/>
        <w:rPr/>
      </w:pPr>
      <w:r>
        <w:rPr>
          <w:rFonts w:ascii="Times New Roman;serif" w:hAnsi="Times New Roman;serif"/>
          <w:b w:val="false"/>
          <w:color w:val="000000"/>
          <w:sz w:val="18"/>
        </w:rPr>
        <w:t>(4)</w:t>
      </w:r>
      <w:r>
        <w:rPr>
          <w:rFonts w:ascii="Times New Roman;serif" w:hAnsi="Times New Roman;serif"/>
          <w:b w:val="false"/>
          <w:color w:val="000000"/>
          <w:sz w:val="16"/>
        </w:rPr>
        <w:t>Related to costs associated with the transition of our former CEO, including accelerated vesting of outstanding time-based restricted stock awards.</w:t>
      </w:r>
    </w:p>
    <w:p>
      <w:pPr>
        <w:pStyle w:val="TextBody"/>
        <w:bidi w:val="0"/>
        <w:spacing w:before="0" w:after="60"/>
        <w:jc w:val="left"/>
        <w:rPr/>
      </w:pPr>
      <w:r>
        <w:rPr/>
      </w:r>
    </w:p>
    <w:p>
      <w:pPr>
        <w:pStyle w:val="TextBody"/>
        <w:bidi w:val="0"/>
        <w:spacing w:before="0" w:after="60"/>
        <w:ind w:left="0" w:right="0" w:hanging="180"/>
        <w:jc w:val="left"/>
        <w:rPr/>
      </w:pPr>
      <w:r>
        <w:rPr/>
      </w:r>
    </w:p>
    <w:p>
      <w:pPr>
        <w:pStyle w:val="TextBody"/>
        <w:bidi w:val="0"/>
        <w:spacing w:before="0" w:after="0"/>
        <w:jc w:val="center"/>
        <w:rPr/>
      </w:pPr>
      <w:r>
        <w:rPr/>
      </w:r>
    </w:p>
    <w:p>
      <w:pPr>
        <w:pStyle w:val="TextBody"/>
        <w:bidi w:val="0"/>
        <w:spacing w:lineRule="auto" w:line="288" w:before="100" w:after="283"/>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 xml:space="preserve">Note: Results may not be additive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51"/>
        <w:gridCol w:w="1686"/>
        <w:gridCol w:w="1692"/>
        <w:gridCol w:w="196"/>
        <w:gridCol w:w="871"/>
        <w:gridCol w:w="109"/>
        <w:gridCol w:w="109"/>
        <w:gridCol w:w="109"/>
        <w:gridCol w:w="109"/>
        <w:gridCol w:w="220"/>
        <w:gridCol w:w="981"/>
        <w:gridCol w:w="122"/>
        <w:gridCol w:w="109"/>
        <w:gridCol w:w="109"/>
        <w:gridCol w:w="109"/>
        <w:gridCol w:w="196"/>
        <w:gridCol w:w="871"/>
        <w:gridCol w:w="156"/>
      </w:tblGrid>
      <w:tr>
        <w:trPr/>
        <w:tc>
          <w:tcPr>
            <w:tcW w:w="245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$6,340, $5,663, and $4,895,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Finished goods inventories, net of inventory reserves of $10,284, $8,257, and $13,844,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Prepaid expenses and other current assets</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1,158,221 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1,142,672 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1,102,386 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$598,575, $602,670, and $640,751,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2,433,167 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2,355,517 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operating lease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525,671 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508,816 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1,578,605 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1,543,767 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par value $0.01 per share; 100,000 shares authorized; none issued or outstanding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voting; par value $0.01 per share; 150,000,000 shares authorized; 36,467,071, 36,041,995, and 36,280,056 shares issued and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894,024 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854,562 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811,750 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2,433,167 </w:t>
            </w:r>
          </w:p>
        </w:tc>
        <w:tc>
          <w:tcPr>
            <w:tcW w:w="1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2,355,517 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46" w:type="dxa"/>
        <w:jc w:val="center"/>
        <w:tblInd w:w="0" w:type="dxa"/>
        <w:tblLayout w:type="fixed"/>
        <w:tblCellMar>
          <w:top w:w="28" w:type="dxa"/>
          <w:left w:w="28" w:type="dxa"/>
          <w:bottom w:w="28" w:type="dxa"/>
          <w:right w:w="28" w:type="dxa"/>
        </w:tblCellMar>
      </w:tblPr>
      <w:tblGrid>
        <w:gridCol w:w="2342"/>
        <w:gridCol w:w="2053"/>
        <w:gridCol w:w="2070"/>
        <w:gridCol w:w="217"/>
        <w:gridCol w:w="817"/>
        <w:gridCol w:w="121"/>
        <w:gridCol w:w="109"/>
        <w:gridCol w:w="109"/>
        <w:gridCol w:w="109"/>
        <w:gridCol w:w="216"/>
        <w:gridCol w:w="813"/>
        <w:gridCol w:w="170"/>
      </w:tblGrid>
      <w:tr>
        <w:trPr/>
        <w:tc>
          <w:tcPr>
            <w:tcW w:w="2342"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(used in) provided by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inventory,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plant and equipment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(gain) loss,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 receivable from customers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operating assets and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inventories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91,691 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(24,315)</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Withholdings from vesting of restricted stock</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(42,817)</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(99,357)</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exchange rate changes on cash and cash equivalents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(74,743)</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(34,567)</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338,183 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316,646 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ADJUSTED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3"/>
        <w:gridCol w:w="466"/>
        <w:gridCol w:w="469"/>
        <w:gridCol w:w="109"/>
        <w:gridCol w:w="109"/>
        <w:gridCol w:w="109"/>
        <w:gridCol w:w="109"/>
        <w:gridCol w:w="196"/>
        <w:gridCol w:w="556"/>
        <w:gridCol w:w="109"/>
        <w:gridCol w:w="109"/>
        <w:gridCol w:w="109"/>
        <w:gridCol w:w="109"/>
        <w:gridCol w:w="237"/>
        <w:gridCol w:w="231"/>
        <w:gridCol w:w="401"/>
        <w:gridCol w:w="109"/>
        <w:gridCol w:w="109"/>
        <w:gridCol w:w="109"/>
        <w:gridCol w:w="276"/>
        <w:gridCol w:w="656"/>
        <w:gridCol w:w="154"/>
        <w:gridCol w:w="109"/>
        <w:gridCol w:w="109"/>
        <w:gridCol w:w="109"/>
        <w:gridCol w:w="237"/>
        <w:gridCol w:w="171"/>
        <w:gridCol w:w="401"/>
        <w:gridCol w:w="109"/>
        <w:gridCol w:w="109"/>
        <w:gridCol w:w="109"/>
        <w:gridCol w:w="242"/>
        <w:gridCol w:w="464"/>
        <w:gridCol w:w="134"/>
        <w:gridCol w:w="109"/>
        <w:gridCol w:w="109"/>
        <w:gridCol w:w="109"/>
        <w:gridCol w:w="225"/>
        <w:gridCol w:w="431"/>
        <w:gridCol w:w="125"/>
        <w:gridCol w:w="109"/>
        <w:gridCol w:w="109"/>
        <w:gridCol w:w="109"/>
        <w:gridCol w:w="217"/>
        <w:gridCol w:w="517"/>
        <w:gridCol w:w="179"/>
      </w:tblGrid>
      <w:tr>
        <w:trPr/>
        <w:tc>
          <w:tcPr>
            <w:tcW w:w="71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June 28, 2025</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8"/>
        <w:gridCol w:w="445"/>
        <w:gridCol w:w="449"/>
        <w:gridCol w:w="109"/>
        <w:gridCol w:w="109"/>
        <w:gridCol w:w="109"/>
        <w:gridCol w:w="109"/>
        <w:gridCol w:w="196"/>
        <w:gridCol w:w="556"/>
        <w:gridCol w:w="109"/>
        <w:gridCol w:w="109"/>
        <w:gridCol w:w="109"/>
        <w:gridCol w:w="109"/>
        <w:gridCol w:w="237"/>
        <w:gridCol w:w="231"/>
        <w:gridCol w:w="394"/>
        <w:gridCol w:w="109"/>
        <w:gridCol w:w="109"/>
        <w:gridCol w:w="109"/>
        <w:gridCol w:w="271"/>
        <w:gridCol w:w="644"/>
        <w:gridCol w:w="151"/>
        <w:gridCol w:w="109"/>
        <w:gridCol w:w="109"/>
        <w:gridCol w:w="109"/>
        <w:gridCol w:w="237"/>
        <w:gridCol w:w="168"/>
        <w:gridCol w:w="394"/>
        <w:gridCol w:w="109"/>
        <w:gridCol w:w="109"/>
        <w:gridCol w:w="109"/>
        <w:gridCol w:w="225"/>
        <w:gridCol w:w="537"/>
        <w:gridCol w:w="125"/>
        <w:gridCol w:w="109"/>
        <w:gridCol w:w="109"/>
        <w:gridCol w:w="109"/>
        <w:gridCol w:w="212"/>
        <w:gridCol w:w="505"/>
        <w:gridCol w:w="118"/>
        <w:gridCol w:w="109"/>
        <w:gridCol w:w="109"/>
        <w:gridCol w:w="109"/>
        <w:gridCol w:w="215"/>
        <w:gridCol w:w="513"/>
        <w:gridCol w:w="177"/>
      </w:tblGrid>
      <w:tr>
        <w:trPr/>
        <w:tc>
          <w:tcPr>
            <w:tcW w:w="69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June 28, 2025</w:t>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SG&amp;A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As adjusted </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(a)In addition to the results provided in this earnings release in accordance with GAAP, the Company has provided adjusted, non-GAAP financial measurements that present SG&amp;A, operating income, income tax, net income, and net income on a diluted share basis excluding the adjustments discussed above. The Company believes these adjustments provide a meaningful comparison of the Company’s results and afford investors a view of what management considers to be the Company's core performance. The adjusted, non-GAAP financial measurements included in this earnings release should not be considered as an alternative to net income or as any other measurement of performance derived in accordance with GAAP. The adjusted, non-GAAP financial measurements are presented for informational purposes only and are not necessarily indicative of the Company’s future condition or results of operations.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(b)Primarily related to third-party consulting costs.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(c)Related to costs associated with the transition of our former CEO, including accelerated vesting of outstanding time-based restricted stock awards.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CARTER’S,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INCOME ALLOCABLE TO COMMON SHAREHOLDERS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8"/>
        <w:gridCol w:w="1564"/>
        <w:gridCol w:w="250"/>
        <w:gridCol w:w="711"/>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2024</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and common equivalent shares outstanding:</w:t>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number of common shares outstanding</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35,688,755 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35,774,748 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number of common and common equivalent shares outstanding</w:t>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35,688,890 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35,361,644 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35,776,440 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reported on a GAAP Basis:</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64,454 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adjusted (a):</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64,454 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(a)In addition to the results provided in this earnings release in accordance with GAAP, the Company has provided adjusted, non-GAAP financial measurements that present per share data excluding the adjustments discussed above. The Company has excluded $5.9 million and $14.1 million in after-tax expenses from these results for the fiscal quarter and two fiscal quarters ended June 28, 2025,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Note: Results may not be additive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U.S. GAAP AND NON-GAAP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net income to EBITDA and Adjusted EBITDA for the periods indicated:</w:t>
      </w:r>
    </w:p>
    <w:tbl>
      <w:tblPr>
        <w:tblW w:w="10205" w:type="dxa"/>
        <w:jc w:val="center"/>
        <w:tblInd w:w="0" w:type="dxa"/>
        <w:tblLayout w:type="fixed"/>
        <w:tblCellMar>
          <w:top w:w="28" w:type="dxa"/>
          <w:left w:w="28" w:type="dxa"/>
          <w:bottom w:w="28" w:type="dxa"/>
          <w:right w:w="28" w:type="dxa"/>
        </w:tblCellMar>
      </w:tblPr>
      <w:tblGrid>
        <w:gridCol w:w="944"/>
        <w:gridCol w:w="730"/>
        <w:gridCol w:w="718"/>
        <w:gridCol w:w="109"/>
        <w:gridCol w:w="109"/>
        <w:gridCol w:w="109"/>
        <w:gridCol w:w="265"/>
        <w:gridCol w:w="632"/>
        <w:gridCol w:w="147"/>
        <w:gridCol w:w="109"/>
        <w:gridCol w:w="109"/>
        <w:gridCol w:w="109"/>
        <w:gridCol w:w="265"/>
        <w:gridCol w:w="632"/>
        <w:gridCol w:w="147"/>
        <w:gridCol w:w="109"/>
        <w:gridCol w:w="109"/>
        <w:gridCol w:w="109"/>
        <w:gridCol w:w="265"/>
        <w:gridCol w:w="633"/>
        <w:gridCol w:w="147"/>
        <w:gridCol w:w="119"/>
        <w:gridCol w:w="119"/>
        <w:gridCol w:w="119"/>
        <w:gridCol w:w="244"/>
        <w:gridCol w:w="692"/>
        <w:gridCol w:w="134"/>
        <w:gridCol w:w="109"/>
        <w:gridCol w:w="109"/>
        <w:gridCol w:w="109"/>
        <w:gridCol w:w="418"/>
        <w:gridCol w:w="1188"/>
        <w:gridCol w:w="339"/>
      </w:tblGrid>
      <w:tr>
        <w:trPr/>
        <w:tc>
          <w:tcPr>
            <w:tcW w:w="9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Four Fiscal Quarters Ended </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model improvement costs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Leadership transition costs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Organizational restructuring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Intangible asset impairment </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Partial pension plan settlement </w:t>
            </w:r>
            <w:r>
              <w:rPr>
                <w:rFonts w:ascii="Times New Roman;serif" w:hAnsi="Times New Roman;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3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(a)Primarily related to third-party consulting costs.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(b)Related to costs associated with the transition of our former CEO, including accelerated vesting of outstanding time-based restricted stock awards.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(c)Net expenses related to organizational restructuring.</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(d)Non-cash impairment charge on the OshKosh indefinite-lived tradename asset.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(e)Non-cash charge for partial settlement of the OshKosh B’Gosh Pension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 and Adjusted EBITDA are supplemental financial measures that are not defined or prepared in accordance with GAAP. We define EBITDA as net income before interest, income taxes, and depreciation and amortization. Adjusted EBITDA is EBITDA adjusted for the items described in footnotes (a) - (e) to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present EBITDA and Adjusted EBITDA because we consider them important supplemental measures of our performance and believe they are frequently used by securities analysts, investors, and other interested parties in the evaluation of companies in our industry. These measures also afford investors a view of what management considers to be the Company's core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use of EBITDA and Adjusted EBITDA instead of net income or cash flows from operations has limitations as an analytical tool, and you should not consider them in isolation, or as a substitute for analysis of our results as reported under GAAP. EBITDA and Adjusted EBITDA do not represent net income or cash flow from operations as those terms are defined by GAAP and do not necessarily indicate whether cash flows will be sufficient to fund cash needs. While EBITDA, Adjusted EBITDA and similar measures are frequently used as measures of operations and the ability to meet debt service requirements, these terms are not necessarily comparable to other similarly titled captions of other companies due to the potential inconsistencies in the method of calculation. EBITDA and Adjusted EBITDA do not reflect the impact of earnings or charges resulting from matters that we consider not to be indicative of our ongoing operations. Because of these limitations, EBITDA and Adjusted EBITDA should not be considered as discretionary cash available to us for working capital, debt service and other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U.S. GAAP AND NON-GAAP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200"/>
        <w:jc w:val="both"/>
        <w:rPr/>
      </w:pPr>
      <w:r>
        <w:rPr/>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table below reflects the calculation of constant currency net sales on a consolidated and International segment basis for the fiscal quarter and two fiscal quarters ended June 28, 2025:</w:t>
      </w:r>
    </w:p>
    <w:tbl>
      <w:tblPr>
        <w:tblW w:w="10205" w:type="dxa"/>
        <w:jc w:val="center"/>
        <w:tblInd w:w="0" w:type="dxa"/>
        <w:tblLayout w:type="fixed"/>
        <w:tblCellMar>
          <w:top w:w="28" w:type="dxa"/>
          <w:left w:w="28" w:type="dxa"/>
          <w:bottom w:w="28" w:type="dxa"/>
          <w:right w:w="28" w:type="dxa"/>
        </w:tblCellMar>
      </w:tblPr>
      <w:tblGrid>
        <w:gridCol w:w="407"/>
        <w:gridCol w:w="357"/>
        <w:gridCol w:w="359"/>
        <w:gridCol w:w="206"/>
        <w:gridCol w:w="585"/>
        <w:gridCol w:w="114"/>
        <w:gridCol w:w="109"/>
        <w:gridCol w:w="109"/>
        <w:gridCol w:w="109"/>
        <w:gridCol w:w="320"/>
        <w:gridCol w:w="639"/>
        <w:gridCol w:w="178"/>
        <w:gridCol w:w="109"/>
        <w:gridCol w:w="109"/>
        <w:gridCol w:w="109"/>
        <w:gridCol w:w="379"/>
        <w:gridCol w:w="1076"/>
        <w:gridCol w:w="212"/>
        <w:gridCol w:w="109"/>
        <w:gridCol w:w="109"/>
        <w:gridCol w:w="109"/>
        <w:gridCol w:w="206"/>
        <w:gridCol w:w="585"/>
        <w:gridCol w:w="114"/>
        <w:gridCol w:w="109"/>
        <w:gridCol w:w="109"/>
        <w:gridCol w:w="109"/>
        <w:gridCol w:w="270"/>
        <w:gridCol w:w="235"/>
        <w:gridCol w:w="552"/>
        <w:gridCol w:w="109"/>
        <w:gridCol w:w="109"/>
        <w:gridCol w:w="109"/>
        <w:gridCol w:w="369"/>
        <w:gridCol w:w="369"/>
        <w:gridCol w:w="1038"/>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 Translation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Constant-Currency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29,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Net Sales %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Constant-Currency Net Sales % Change</w:t>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segment net sales</w:t>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5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3"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6"/>
        <w:gridCol w:w="347"/>
        <w:gridCol w:w="349"/>
        <w:gridCol w:w="200"/>
        <w:gridCol w:w="706"/>
        <w:gridCol w:w="111"/>
        <w:gridCol w:w="109"/>
        <w:gridCol w:w="109"/>
        <w:gridCol w:w="109"/>
        <w:gridCol w:w="304"/>
        <w:gridCol w:w="608"/>
        <w:gridCol w:w="170"/>
        <w:gridCol w:w="109"/>
        <w:gridCol w:w="109"/>
        <w:gridCol w:w="109"/>
        <w:gridCol w:w="323"/>
        <w:gridCol w:w="1143"/>
        <w:gridCol w:w="182"/>
        <w:gridCol w:w="109"/>
        <w:gridCol w:w="109"/>
        <w:gridCol w:w="109"/>
        <w:gridCol w:w="200"/>
        <w:gridCol w:w="706"/>
        <w:gridCol w:w="111"/>
        <w:gridCol w:w="109"/>
        <w:gridCol w:w="109"/>
        <w:gridCol w:w="109"/>
        <w:gridCol w:w="226"/>
        <w:gridCol w:w="226"/>
        <w:gridCol w:w="531"/>
        <w:gridCol w:w="109"/>
        <w:gridCol w:w="109"/>
        <w:gridCol w:w="109"/>
        <w:gridCol w:w="360"/>
        <w:gridCol w:w="360"/>
        <w:gridCol w:w="1011"/>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 Translation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Constant-Currency Net Sales </w:t>
              <w:b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Reported Net Sales </w:t>
              <w:br/>
              <w:t>June 29,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Net Sales %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Constant-Currency Net Sales % Change</w:t>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segment net sales</w:t>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60" w:before="0" w:after="200"/>
        <w:jc w:val="both"/>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Company evaluates its net sales on both an “as reported” and a “constant currency” basis. The constant currency presentation, which is a non-GAAP measure, excludes the impact of fluctuations in foreign currency exchange rates that occurred between the comparative periods. Constant currency net sales results are calculated by translating current period net sales in local currency to the U.S. dollar amount by using the currency conversion rate for the prior comparative period. The Company consistently applies this approach to net sales for all countries where the functional currency is not the U.S. dollar. The Company believes that the presentation of net sales on a constant currency basis provides useful supplemental information regarding changes in our net sales that were not due to fluctuations in currency exchange rates and such information is consistent with how the Company assesses changes in its net sales between comparative periods.</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ind w:left="0" w:right="0" w:firstLine="720"/>
        <w:jc w:val="both"/>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5872</Words>
  <Characters>32244</Characters>
  <CharactersWithSpaces>37610</CharactersWithSpaces>
  <Paragraphs>1309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