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4831ddefa14a.htm"/>
      <w:bookmarkStart w:id="1" w:name="ksd134831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 w:after="0"/>
        <w:jc w:val="center"/>
        <w:rPr>
          <w:rFonts w:ascii="ARIAL" w:hAnsi="ARIAL"/>
          <w:b/>
          <w:sz w:val="36"/>
        </w:rPr>
      </w:pPr>
      <w:r>
        <w:rPr>
          <w:rFonts w:ascii="ARIAL" w:hAnsi="ARIAL"/>
          <w:b/>
          <w:sz w:val="36"/>
        </w:rPr>
        <w:t xml:space="preserve">UNITED STATES </w:t>
      </w:r>
    </w:p>
    <w:p>
      <w:pPr>
        <w:pStyle w:val="TextBody"/>
        <w:bidi w:val="0"/>
        <w:spacing w:before="0" w:after="0"/>
        <w:jc w:val="center"/>
        <w:rPr>
          <w:rFonts w:ascii="ARIAL" w:hAnsi="ARIAL"/>
          <w:b/>
          <w:sz w:val="36"/>
        </w:rPr>
      </w:pPr>
      <w:r>
        <w:rPr>
          <w:rFonts w:ascii="ARIAL" w:hAnsi="ARIAL"/>
          <w:b/>
          <w:sz w:val="36"/>
        </w:rPr>
        <w:t xml:space="preserve">SECURITIES AND EXCHANGE COMMISSION </w:t>
      </w:r>
    </w:p>
    <w:p>
      <w:pPr>
        <w:pStyle w:val="TextBody"/>
        <w:bidi w:val="0"/>
        <w:spacing w:before="0" w:after="0"/>
        <w:jc w:val="center"/>
        <w:rPr>
          <w:rFonts w:ascii="ARIAL" w:hAnsi="ARIAL"/>
          <w:b/>
          <w:sz w:val="24"/>
        </w:rPr>
      </w:pPr>
      <w:r>
        <w:rPr>
          <w:rFonts w:ascii="ARIAL" w:hAnsi="ARIAL"/>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ARIAL" w:hAnsi="ARIAL"/>
          <w:b/>
          <w:sz w:val="36"/>
        </w:rPr>
      </w:pPr>
      <w:r>
        <w:rPr>
          <w:rFonts w:ascii="ARIAL" w:hAnsi="ARIAL"/>
          <w:b/>
          <w:sz w:val="36"/>
        </w:rPr>
        <w:t xml:space="preserve">SCHEDULE 14A </w:t>
      </w:r>
    </w:p>
    <w:p>
      <w:pPr>
        <w:pStyle w:val="TextBody"/>
        <w:bidi w:val="0"/>
        <w:spacing w:before="120" w:after="0"/>
        <w:jc w:val="center"/>
        <w:rPr>
          <w:rFonts w:ascii="ARIAL" w:hAnsi="ARIAL"/>
          <w:b/>
          <w:sz w:val="24"/>
        </w:rPr>
      </w:pPr>
      <w:r>
        <w:rPr>
          <w:rFonts w:ascii="ARIAL" w:hAnsi="ARIAL"/>
          <w:b/>
          <w:sz w:val="24"/>
        </w:rPr>
        <w:t xml:space="preserve">Proxy Statement Pursuant to Section 14(a) of the </w:t>
      </w:r>
    </w:p>
    <w:p>
      <w:pPr>
        <w:pStyle w:val="TextBody"/>
        <w:bidi w:val="0"/>
        <w:spacing w:before="0" w:after="0"/>
        <w:jc w:val="center"/>
        <w:rPr>
          <w:rFonts w:ascii="ARIAL" w:hAnsi="ARIAL"/>
          <w:b/>
          <w:sz w:val="24"/>
        </w:rPr>
      </w:pPr>
      <w:r>
        <w:rPr>
          <w:rFonts w:ascii="ARIAL" w:hAnsi="ARIAL"/>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ARIAL" w:hAnsi="ARIAL"/>
          <w:sz w:val="16"/>
        </w:rPr>
      </w:pPr>
      <w:r>
        <w:rPr>
          <w:rFonts w:ascii="ARIAL" w:hAnsi="ARIAL"/>
          <w:sz w:val="16"/>
        </w:rPr>
        <w:t xml:space="preserve">Filed by the Registrant ☒       Filed by a Party other than the Registrant ☐ </w:t>
      </w:r>
    </w:p>
    <w:p>
      <w:pPr>
        <w:pStyle w:val="TextBody"/>
        <w:bidi w:val="0"/>
        <w:spacing w:before="120" w:after="0"/>
        <w:jc w:val="left"/>
        <w:rPr>
          <w:rFonts w:ascii="ARIAL" w:hAnsi="ARIAL"/>
          <w:sz w:val="16"/>
        </w:rPr>
      </w:pPr>
      <w:r>
        <w:rPr>
          <w:rFonts w:ascii="ARIAL" w:hAnsi="ARIAL"/>
          <w:sz w:val="16"/>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ARIAL" w:hAnsi="ARIAL"/>
                <w:sz w:val="16"/>
              </w:rPr>
            </w:pPr>
            <w:r>
              <w:rPr>
                <w:rFonts w:ascii="ARIAL" w:hAnsi="ARIAL"/>
                <w:sz w:val="16"/>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6"/>
              </w:rPr>
            </w:pPr>
            <w:r>
              <w:rPr>
                <w:rFonts w:ascii="ARIAL" w:hAnsi="ARIAL"/>
                <w:b/>
                <w:sz w:val="16"/>
              </w:rPr>
              <w:t>Confidential, for Use of the Commission Only (as permitted by Rule 14a-6(e)(2))</w:t>
            </w:r>
            <w:r>
              <w:rPr>
                <w:rFonts w:ascii="ARIAL" w:hAnsi="ARIAL"/>
                <w:sz w:val="16"/>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6"/>
              </w:rPr>
            </w:pPr>
            <w:r>
              <w:rPr>
                <w:rFonts w:ascii="ARIAL" w:hAnsi="ARIAL"/>
                <w:sz w:val="16"/>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ARIAL" w:hAnsi="ARIAL"/>
                <w:sz w:val="16"/>
              </w:rPr>
            </w:pPr>
            <w:r>
              <w:rPr>
                <w:rFonts w:ascii="ARIAL" w:hAnsi="ARIAL"/>
                <w:sz w:val="16"/>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ARIAL" w:hAnsi="ARIAL"/>
                <w:sz w:val="16"/>
              </w:rPr>
            </w:pPr>
            <w:r>
              <w:rPr>
                <w:rFonts w:ascii="ARIAL" w:hAnsi="ARIAL"/>
                <w:sz w:val="16"/>
              </w:rPr>
              <w:t xml:space="preserve">Soliciting Material Pursuant to §240.14a-12 </w:t>
            </w:r>
          </w:p>
        </w:tc>
      </w:tr>
    </w:tbl>
    <w:p>
      <w:pPr>
        <w:pStyle w:val="TextBody"/>
        <w:bidi w:val="0"/>
        <w:spacing w:before="240" w:after="0"/>
        <w:jc w:val="center"/>
        <w:rPr>
          <w:rFonts w:ascii="ARIAL" w:hAnsi="ARIAL"/>
          <w:b/>
          <w:sz w:val="44"/>
        </w:rPr>
      </w:pPr>
      <w:r>
        <w:rPr>
          <w:rFonts w:ascii="ARIAL" w:hAnsi="ARIAL"/>
          <w:b/>
          <w:sz w:val="44"/>
        </w:rPr>
        <w:t xml:space="preserve">Carter’s, Inc. </w:t>
      </w:r>
    </w:p>
    <w:p>
      <w:pPr>
        <w:pStyle w:val="TextBody"/>
        <w:bidi w:val="0"/>
        <w:spacing w:before="0" w:after="0"/>
        <w:jc w:val="center"/>
        <w:rPr>
          <w:rFonts w:ascii="ARIAL" w:hAnsi="ARIAL"/>
          <w:b/>
          <w:sz w:val="20"/>
        </w:rPr>
      </w:pPr>
      <w:r>
        <w:rPr>
          <w:rFonts w:ascii="ARIAL" w:hAnsi="ARIAL"/>
          <w:b/>
          <w:sz w:val="20"/>
        </w:rPr>
        <w:t xml:space="preserve">(Name of Registrant as Specified In Its Charter) </w:t>
      </w:r>
    </w:p>
    <w:p>
      <w:pPr>
        <w:pStyle w:val="TextBody"/>
        <w:bidi w:val="0"/>
        <w:spacing w:before="120" w:after="0"/>
        <w:jc w:val="center"/>
        <w:rPr>
          <w:rFonts w:ascii="ARIAL" w:hAnsi="ARIAL"/>
          <w:b/>
          <w:sz w:val="20"/>
        </w:rPr>
      </w:pPr>
      <w:r>
        <w:rPr>
          <w:rFonts w:ascii="ARIAL" w:hAnsi="ARIAL"/>
          <w:b/>
          <w:sz w:val="20"/>
        </w:rPr>
        <w:t xml:space="preserve">Not applicable. </w:t>
      </w:r>
    </w:p>
    <w:p>
      <w:pPr>
        <w:pStyle w:val="TextBody"/>
        <w:bidi w:val="0"/>
        <w:spacing w:before="0" w:after="0"/>
        <w:jc w:val="center"/>
        <w:rPr>
          <w:rFonts w:ascii="ARIAL" w:hAnsi="ARIAL"/>
          <w:b/>
          <w:sz w:val="16"/>
        </w:rPr>
      </w:pPr>
      <w:r>
        <w:rPr>
          <w:rFonts w:ascii="ARIAL" w:hAnsi="ARIAL"/>
          <w:b/>
          <w:sz w:val="16"/>
        </w:rPr>
        <w:t xml:space="preserve">(Name of Person(s) Filing Proxy Statement, if other than the Registrant) </w:t>
      </w:r>
    </w:p>
    <w:p>
      <w:pPr>
        <w:pStyle w:val="TextBody"/>
        <w:bidi w:val="0"/>
        <w:spacing w:before="120" w:after="0"/>
        <w:jc w:val="left"/>
        <w:rPr>
          <w:rFonts w:ascii="ARIAL" w:hAnsi="ARIAL"/>
          <w:sz w:val="16"/>
        </w:rPr>
      </w:pPr>
      <w:r>
        <w:rPr>
          <w:rFonts w:ascii="ARIAL" w:hAnsi="ARIAL"/>
          <w:sz w:val="16"/>
        </w:rPr>
        <w:t xml:space="preserve">Payment of Filing Fee (Check the appropriate box): </w:t>
      </w:r>
    </w:p>
    <w:tbl>
      <w:tblPr>
        <w:tblW w:w="5000" w:type="pct"/>
        <w:jc w:val="left"/>
        <w:tblInd w:w="0" w:type="dxa"/>
        <w:tblLayout w:type="fixed"/>
        <w:tblCellMar>
          <w:top w:w="0" w:type="dxa"/>
          <w:left w:w="0" w:type="dxa"/>
          <w:bottom w:w="0" w:type="dxa"/>
          <w:right w:w="0" w:type="dxa"/>
        </w:tblCellMar>
      </w:tblPr>
      <w:tblGrid>
        <w:gridCol w:w="535"/>
        <w:gridCol w:w="135"/>
        <w:gridCol w:w="749"/>
        <w:gridCol w:w="306"/>
        <w:gridCol w:w="8480"/>
      </w:tblGrid>
      <w:tr>
        <w:trPr/>
        <w:tc>
          <w:tcPr>
            <w:tcW w:w="53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No fee required.</w:t>
            </w:r>
          </w:p>
        </w:tc>
      </w:tr>
      <w:tr>
        <w:trPr>
          <w:trHeight w:val="12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paid previously with preliminary materials.</w:t>
            </w:r>
          </w:p>
        </w:tc>
      </w:tr>
      <w:tr>
        <w:trPr>
          <w:trHeight w:val="120" w:hRule="atLeast"/>
        </w:trPr>
        <w:tc>
          <w:tcPr>
            <w:tcW w:w="535" w:type="dxa"/>
            <w:tcBorders/>
            <w:vAlign w:val="center"/>
          </w:tcPr>
          <w:p>
            <w:pPr>
              <w:pStyle w:val="TableContents"/>
              <w:bidi w:val="0"/>
              <w:spacing w:before="0" w:after="283"/>
              <w:jc w:val="left"/>
              <w:rPr>
                <w:sz w:val="4"/>
                <w:szCs w:val="4"/>
              </w:rPr>
            </w:pPr>
            <w:r>
              <w:rPr>
                <w:sz w:val="4"/>
                <w:szCs w:val="4"/>
              </w:rPr>
            </w:r>
          </w:p>
        </w:tc>
        <w:tc>
          <w:tcPr>
            <w:tcW w:w="9670" w:type="dxa"/>
            <w:gridSpan w:val="4"/>
            <w:tcBorders/>
            <w:vAlign w:val="center"/>
          </w:tcPr>
          <w:p>
            <w:pPr>
              <w:pStyle w:val="TableContents"/>
              <w:bidi w:val="0"/>
              <w:spacing w:before="0" w:after="283"/>
              <w:jc w:val="left"/>
              <w:rPr>
                <w:sz w:val="4"/>
                <w:szCs w:val="4"/>
              </w:rPr>
            </w:pPr>
            <w:r>
              <w:rPr>
                <w:sz w:val="4"/>
                <w:szCs w:val="4"/>
              </w:rPr>
            </w:r>
          </w:p>
        </w:tc>
      </w:tr>
      <w:tr>
        <w:trPr/>
        <w:tc>
          <w:tcPr>
            <w:tcW w:w="535" w:type="dxa"/>
            <w:tcBorders/>
          </w:tcPr>
          <w:p>
            <w:pPr>
              <w:pStyle w:val="TableContents"/>
              <w:bidi w:val="0"/>
              <w:spacing w:before="0" w:after="283"/>
              <w:jc w:val="left"/>
              <w:rPr/>
            </w:pPr>
            <w:r>
              <w:rPr/>
              <w:t>☐</w:t>
            </w:r>
          </w:p>
        </w:tc>
        <w:tc>
          <w:tcPr>
            <w:tcW w:w="135" w:type="dxa"/>
            <w:tcBorders/>
            <w:vAlign w:val="bottom"/>
          </w:tcPr>
          <w:p>
            <w:pPr>
              <w:pStyle w:val="TableContents"/>
              <w:bidi w:val="0"/>
              <w:spacing w:before="0" w:after="283"/>
              <w:jc w:val="left"/>
              <w:rPr/>
            </w:pPr>
            <w:r>
              <w:rPr/>
              <w:t> </w:t>
            </w:r>
          </w:p>
        </w:tc>
        <w:tc>
          <w:tcPr>
            <w:tcW w:w="9535"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Carter’s, Inc.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 to Proxy Statement dated May 1, 2026 </w:t>
      </w:r>
    </w:p>
    <w:p>
      <w:pPr>
        <w:pStyle w:val="TextBody"/>
        <w:bidi w:val="0"/>
        <w:spacing w:before="0" w:after="0"/>
        <w:jc w:val="center"/>
        <w:rPr>
          <w:rFonts w:ascii="Times New Roman" w:hAnsi="Times New Roman"/>
          <w:b/>
          <w:sz w:val="20"/>
        </w:rPr>
      </w:pPr>
      <w:r>
        <w:rPr>
          <w:rFonts w:ascii="Times New Roman" w:hAnsi="Times New Roman"/>
          <w:b/>
          <w:sz w:val="20"/>
        </w:rPr>
        <w:t xml:space="preserve">For the Annual Meeting of Stockholders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May 13, 2026 </w:t>
      </w:r>
    </w:p>
    <w:p>
      <w:pPr>
        <w:pStyle w:val="TextBody"/>
        <w:bidi w:val="0"/>
        <w:spacing w:before="240" w:after="0"/>
        <w:jc w:val="left"/>
        <w:rPr>
          <w:rFonts w:ascii="Times New Roman" w:hAnsi="Times New Roman"/>
          <w:sz w:val="20"/>
        </w:rPr>
      </w:pPr>
      <w:r>
        <w:rPr>
          <w:rFonts w:ascii="Times New Roman" w:hAnsi="Times New Roman"/>
          <w:sz w:val="20"/>
        </w:rPr>
        <w:t>This proxy statement supplement, dated May 1, 2026 (the “</w:t>
      </w:r>
      <w:r>
        <w:rPr>
          <w:rFonts w:ascii="Times New Roman" w:hAnsi="Times New Roman"/>
          <w:b/>
          <w:sz w:val="20"/>
        </w:rPr>
        <w:t>Supplement</w:t>
      </w:r>
      <w:r>
        <w:rPr>
          <w:rFonts w:ascii="Times New Roman" w:hAnsi="Times New Roman"/>
          <w:sz w:val="20"/>
        </w:rPr>
        <w:t>”), provides updated information with respect to the 2026 Annual Meeting of Stockholders of Carter’s, Inc. (the “</w:t>
      </w:r>
      <w:r>
        <w:rPr>
          <w:rFonts w:ascii="Times New Roman" w:hAnsi="Times New Roman"/>
          <w:b/>
          <w:sz w:val="20"/>
        </w:rPr>
        <w:t>Company</w:t>
      </w:r>
      <w:r>
        <w:rPr>
          <w:rFonts w:ascii="Times New Roman" w:hAnsi="Times New Roman"/>
          <w:sz w:val="20"/>
        </w:rPr>
        <w:t>”) to be held on May 13, 2026 (the “</w:t>
      </w:r>
      <w:r>
        <w:rPr>
          <w:rFonts w:ascii="Times New Roman" w:hAnsi="Times New Roman"/>
          <w:b/>
          <w:sz w:val="20"/>
        </w:rPr>
        <w:t>Annual Meeting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or about April 1, 2026, the Company commenced mailing to its stockholders a Notice of Internet Availability of Proxy Materials (the “</w:t>
      </w:r>
      <w:r>
        <w:rPr>
          <w:rFonts w:ascii="Times New Roman" w:hAnsi="Times New Roman"/>
          <w:b/>
          <w:sz w:val="20"/>
        </w:rPr>
        <w:t>Notice of Internet Availability</w:t>
      </w:r>
      <w:r>
        <w:rPr>
          <w:rFonts w:ascii="Times New Roman" w:hAnsi="Times New Roman"/>
          <w:sz w:val="20"/>
        </w:rPr>
        <w:t>”), through which the Company is providing to its stockholders access to its proxy materials, including the Notice of the Annual Meeting and the Definitive Proxy Statement for the Annual Meeting (the “</w:t>
      </w:r>
      <w:r>
        <w:rPr>
          <w:rFonts w:ascii="Times New Roman" w:hAnsi="Times New Roman"/>
          <w:b/>
          <w:sz w:val="20"/>
        </w:rPr>
        <w:t>Proxy Statement</w:t>
      </w:r>
      <w:r>
        <w:rPr>
          <w:rFonts w:ascii="Times New Roman" w:hAnsi="Times New Roman"/>
          <w:sz w:val="20"/>
        </w:rPr>
        <w:t>”). This Supplement describes a recent change in the proposed nominees for election to the Board of Directors (the “</w:t>
      </w:r>
      <w:r>
        <w:rPr>
          <w:rFonts w:ascii="Times New Roman" w:hAnsi="Times New Roman"/>
          <w:b/>
          <w:sz w:val="20"/>
        </w:rPr>
        <w:t>Board</w:t>
      </w:r>
      <w:r>
        <w:rPr>
          <w:rFonts w:ascii="Times New Roman" w:hAnsi="Times New Roman"/>
          <w:sz w:val="20"/>
        </w:rPr>
        <w:t xml:space="preserve">”) of the Company and replaces and supersedes any inconsistent information set forth in the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of Nominee for Election to the Board </w:t>
      </w:r>
    </w:p>
    <w:p>
      <w:pPr>
        <w:pStyle w:val="TextBody"/>
        <w:bidi w:val="0"/>
        <w:spacing w:before="120" w:after="0"/>
        <w:jc w:val="left"/>
        <w:rPr>
          <w:rFonts w:ascii="Times New Roman" w:hAnsi="Times New Roman"/>
          <w:sz w:val="20"/>
        </w:rPr>
      </w:pPr>
      <w:r>
        <w:rPr>
          <w:rFonts w:ascii="Times New Roman" w:hAnsi="Times New Roman"/>
          <w:sz w:val="20"/>
        </w:rPr>
        <w:t>As described in greater detail in a Current Report on Form 8-K filed with the Securities and Exchange Commission on May 1, 2026 (the “</w:t>
      </w:r>
      <w:r>
        <w:rPr>
          <w:rFonts w:ascii="Times New Roman" w:hAnsi="Times New Roman"/>
          <w:b/>
          <w:sz w:val="20"/>
        </w:rPr>
        <w:t>8-K Report</w:t>
      </w:r>
      <w:r>
        <w:rPr>
          <w:rFonts w:ascii="Times New Roman" w:hAnsi="Times New Roman"/>
          <w:sz w:val="20"/>
        </w:rPr>
        <w:t>”), the Company announced the Board’s appointment of Ms. Sharon Price John as Chief Executive Officer and President of the Company and a member of the Board, effective June 15, 2026. In connection with the appointment of Ms. John, Mr. Douglas C. Palladini has departed the Company as Chief Executive Officer (“</w:t>
      </w:r>
      <w:r>
        <w:rPr>
          <w:rFonts w:ascii="Times New Roman" w:hAnsi="Times New Roman"/>
          <w:b/>
          <w:sz w:val="20"/>
        </w:rPr>
        <w:t>CEO</w:t>
      </w:r>
      <w:r>
        <w:rPr>
          <w:rFonts w:ascii="Times New Roman" w:hAnsi="Times New Roman"/>
          <w:sz w:val="20"/>
        </w:rPr>
        <w:t xml:space="preserve">”) and President and resigned as a member of the Board, in each case, effective April 28, 2026. Mr. Palladini is eligible for separation payments and benefits provided upon a termination of employment without “cause” pursuant to his severance agreement. </w:t>
      </w:r>
    </w:p>
    <w:p>
      <w:pPr>
        <w:pStyle w:val="TextBody"/>
        <w:bidi w:val="0"/>
        <w:spacing w:before="240" w:after="0"/>
        <w:jc w:val="left"/>
        <w:rPr>
          <w:rFonts w:ascii="Times New Roman" w:hAnsi="Times New Roman"/>
          <w:sz w:val="20"/>
        </w:rPr>
      </w:pPr>
      <w:r>
        <w:rPr>
          <w:rFonts w:ascii="Times New Roman" w:hAnsi="Times New Roman"/>
          <w:sz w:val="20"/>
        </w:rPr>
        <w:t xml:space="preserve">Accordingly, Mr. Palladini will not stand for re-election to the Board at the Annual Meeting. As a result, </w:t>
      </w:r>
      <w:r>
        <w:rPr>
          <w:rFonts w:ascii="Times New Roman" w:hAnsi="Times New Roman"/>
          <w:b/>
          <w:sz w:val="20"/>
        </w:rPr>
        <w:t>Mr.</w:t>
      </w:r>
      <w:r>
        <w:rPr>
          <w:rFonts w:ascii="Times New Roman" w:hAnsi="Times New Roman"/>
          <w:sz w:val="20"/>
        </w:rPr>
        <w:t> </w:t>
      </w:r>
      <w:r>
        <w:rPr>
          <w:rFonts w:ascii="Times New Roman" w:hAnsi="Times New Roman"/>
          <w:b/>
          <w:sz w:val="20"/>
        </w:rPr>
        <w:t>Palladini’s name has been withdrawn from nomination</w:t>
      </w:r>
      <w:r>
        <w:rPr>
          <w:rFonts w:ascii="Times New Roman" w:hAnsi="Times New Roman"/>
          <w:sz w:val="20"/>
        </w:rPr>
        <w:t xml:space="preserve"> for re-election to the Board. Because Ms. John’s appointment to the Board will not take effect until after the Annual Meeting, she will not stand for election at the Annual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Appointment of Interim Chief Executive Officer and President </w:t>
      </w:r>
    </w:p>
    <w:p>
      <w:pPr>
        <w:pStyle w:val="TextBody"/>
        <w:bidi w:val="0"/>
        <w:spacing w:before="120" w:after="0"/>
        <w:jc w:val="left"/>
        <w:rPr>
          <w:rFonts w:ascii="Times New Roman" w:hAnsi="Times New Roman"/>
          <w:sz w:val="20"/>
        </w:rPr>
      </w:pPr>
      <w:r>
        <w:rPr>
          <w:rFonts w:ascii="Times New Roman" w:hAnsi="Times New Roman"/>
          <w:sz w:val="20"/>
        </w:rPr>
        <w:t xml:space="preserve">Also as described in greater detail in the 8-K Report, the Board appointed Mr. Richard F. Westenberger, Chief Financial Officer &amp; Chief Operating Officer of the Company, as the Company’s Interim CEO and President, effective April 28, 2026. In connection with Mr. Westenberger’s appointment to Interim CEO and President, the Board approved a compensation package for Mr. Westenberger as described in the 8-K Report. </w:t>
      </w:r>
    </w:p>
    <w:p>
      <w:pPr>
        <w:pStyle w:val="TextBody"/>
        <w:bidi w:val="0"/>
        <w:spacing w:before="360" w:after="0"/>
        <w:jc w:val="left"/>
        <w:rPr>
          <w:rFonts w:ascii="Times New Roman" w:hAnsi="Times New Roman"/>
          <w:b/>
          <w:sz w:val="20"/>
        </w:rPr>
      </w:pPr>
      <w:r>
        <w:rPr>
          <w:rFonts w:ascii="Times New Roman" w:hAnsi="Times New Roman"/>
          <w:b/>
          <w:sz w:val="20"/>
        </w:rPr>
        <w:t xml:space="preserve">Voting Matters </w:t>
      </w:r>
    </w:p>
    <w:p>
      <w:pPr>
        <w:pStyle w:val="TextBody"/>
        <w:bidi w:val="0"/>
        <w:spacing w:before="120" w:after="0"/>
        <w:jc w:val="left"/>
        <w:rPr>
          <w:rFonts w:ascii="Times New Roman" w:hAnsi="Times New Roman"/>
          <w:sz w:val="20"/>
        </w:rPr>
      </w:pPr>
      <w:r>
        <w:rPr>
          <w:rFonts w:ascii="Times New Roman" w:hAnsi="Times New Roman"/>
          <w:sz w:val="20"/>
        </w:rPr>
        <w:t xml:space="preserve">The remaining nominees named in the Proxy Statement will continue to stand for re-election at the Annual Meeting. Notwithstanding Mr. Palladini’s withdrawal as a nominee for re-election to the Board, the Notice of Internet Availability and the proxy card made available with the Notice of the Annual Meeting remain valid; however, any votes that are submitted with instructions to vote for all of the Board’s nominees will be voted only for the remaining eight nominees named in the Proxy Statement, and instruction to vote for Mr. Palladini will be disregarded. If you have already submitted your proxy or provided voting instructions, you do not need to take any action unless you wish to change your vote. Proxies already submitted by stockholders will remain valid and will be voted at the Annual Meeting, unless changed or revoked as described on page 91 of the Proxy Statement. None of the other agenda items to be acted upon at the Annual Meeting, which are described in the Proxy Statement, are affected by this Supplement.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713</Words>
  <Characters>3758</Characters>
  <CharactersWithSpaces>4485</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