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301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301990"/>
                    </a:xfrm>
                    <a:prstGeom prst="rect">
                      <a:avLst/>
                    </a:prstGeom>
                    <a:noFill/>
                  </pic:spPr>
                </pic:pic>
              </a:graphicData>
            </a:graphic>
          </wp:anchor>
        </w:drawing>
      </w:r>
    </w:p>
    <w:p>
      <w:pPr>
        <w:ind w:left="3380"/>
        <w:spacing w:after="0"/>
        <w:rPr>
          <w:sz w:val="20"/>
          <w:szCs w:val="20"/>
          <w:color w:val="auto"/>
        </w:rPr>
      </w:pPr>
      <w:r>
        <w:rPr>
          <w:rFonts w:ascii="Arial" w:cs="Arial" w:eastAsia="Arial" w:hAnsi="Arial"/>
          <w:sz w:val="32"/>
          <w:szCs w:val="32"/>
          <w:b w:val="1"/>
          <w:bCs w:val="1"/>
          <w:color w:val="auto"/>
        </w:rPr>
        <w:t>UNITED STATES</w:t>
      </w:r>
    </w:p>
    <w:p>
      <w:pPr>
        <w:ind w:left="1520"/>
        <w:spacing w:after="0" w:line="213" w:lineRule="auto"/>
        <w:rPr>
          <w:sz w:val="20"/>
          <w:szCs w:val="20"/>
          <w:color w:val="auto"/>
        </w:rPr>
      </w:pPr>
      <w:r>
        <w:rPr>
          <w:rFonts w:ascii="Arial" w:cs="Arial" w:eastAsia="Arial" w:hAnsi="Arial"/>
          <w:sz w:val="32"/>
          <w:szCs w:val="32"/>
          <w:b w:val="1"/>
          <w:bCs w:val="1"/>
          <w:color w:val="auto"/>
        </w:rPr>
        <w:t>SECURITIES AND EXCHANGE COMMISSION</w:t>
      </w:r>
    </w:p>
    <w:p>
      <w:pPr>
        <w:jc w:val="center"/>
        <w:ind w:right="220"/>
        <w:spacing w:after="0" w:line="21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___________________________________</w:t>
      </w:r>
    </w:p>
    <w:p>
      <w:pPr>
        <w:spacing w:after="0" w:line="8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SCHEDULE 14A</w:t>
      </w:r>
    </w:p>
    <w:p>
      <w:pPr>
        <w:ind w:left="3820"/>
        <w:spacing w:after="0" w:line="204" w:lineRule="auto"/>
        <w:rPr>
          <w:sz w:val="20"/>
          <w:szCs w:val="20"/>
          <w:color w:val="auto"/>
        </w:rPr>
      </w:pPr>
      <w:r>
        <w:rPr>
          <w:rFonts w:ascii="Arial" w:cs="Arial" w:eastAsia="Arial" w:hAnsi="Arial"/>
          <w:sz w:val="22"/>
          <w:szCs w:val="22"/>
          <w:b w:val="1"/>
          <w:bCs w:val="1"/>
          <w:color w:val="auto"/>
        </w:rPr>
        <w:t>(Rule 14a-101)</w:t>
      </w:r>
    </w:p>
    <w:p>
      <w:pPr>
        <w:ind w:left="2240"/>
        <w:spacing w:after="0" w:line="205"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ind w:left="3080"/>
        <w:spacing w:after="0"/>
        <w:rPr>
          <w:sz w:val="20"/>
          <w:szCs w:val="20"/>
          <w:color w:val="auto"/>
        </w:rPr>
      </w:pPr>
      <w:r>
        <w:rPr>
          <w:rFonts w:ascii="Arial" w:cs="Arial" w:eastAsia="Arial" w:hAnsi="Arial"/>
          <w:sz w:val="22"/>
          <w:szCs w:val="22"/>
          <w:b w:val="1"/>
          <w:bCs w:val="1"/>
          <w:color w:val="auto"/>
        </w:rPr>
        <w:t>SCHEDULE 14A INFORMATION</w:t>
      </w:r>
    </w:p>
    <w:p>
      <w:pPr>
        <w:spacing w:after="0" w:line="75" w:lineRule="exact"/>
        <w:rPr>
          <w:sz w:val="24"/>
          <w:szCs w:val="24"/>
          <w:color w:val="auto"/>
        </w:rPr>
      </w:pPr>
    </w:p>
    <w:p>
      <w:pPr>
        <w:ind w:left="2160"/>
        <w:spacing w:after="0"/>
        <w:rPr>
          <w:sz w:val="20"/>
          <w:szCs w:val="20"/>
          <w:color w:val="auto"/>
        </w:rPr>
      </w:pPr>
      <w:r>
        <w:rPr>
          <w:rFonts w:ascii="Arial" w:cs="Arial" w:eastAsia="Arial" w:hAnsi="Arial"/>
          <w:sz w:val="22"/>
          <w:szCs w:val="22"/>
          <w:b w:val="1"/>
          <w:bCs w:val="1"/>
          <w:color w:val="auto"/>
        </w:rPr>
        <w:t>Proxy Statement Pursuant to Section 14(a) of the</w:t>
      </w:r>
    </w:p>
    <w:p>
      <w:pPr>
        <w:ind w:left="3000"/>
        <w:spacing w:after="0" w:line="204"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(Amendment No.  )</w:t>
      </w:r>
    </w:p>
    <w:p>
      <w:pPr>
        <w:spacing w:after="0" w:line="194"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___________________________________</w:t>
      </w:r>
    </w:p>
    <w:p>
      <w:pPr>
        <w:sectPr>
          <w:pgSz w:w="11900" w:h="16985" w:orient="portrait"/>
          <w:cols w:equalWidth="0" w:num="1">
            <w:col w:w="9400"/>
          </w:cols>
          <w:pgMar w:left="1440" w:top="1341" w:right="1059" w:bottom="0" w:gutter="0" w:footer="0" w:header="0"/>
        </w:sectPr>
      </w:pPr>
    </w:p>
    <w:p>
      <w:pPr>
        <w:spacing w:after="0" w:line="46" w:lineRule="exact"/>
        <w:rPr>
          <w:sz w:val="24"/>
          <w:szCs w:val="24"/>
          <w:color w:val="auto"/>
        </w:rPr>
      </w:pPr>
    </w:p>
    <w:p>
      <w:pPr>
        <w:ind w:left="140"/>
        <w:spacing w:after="0" w:line="184" w:lineRule="exact"/>
        <w:tabs>
          <w:tab w:leader="none" w:pos="18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9" w:lineRule="exact"/>
        <w:rPr>
          <w:sz w:val="24"/>
          <w:szCs w:val="24"/>
          <w:color w:val="auto"/>
        </w:rPr>
      </w:pPr>
    </w:p>
    <w:p>
      <w:pPr>
        <w:sectPr>
          <w:pgSz w:w="11900" w:h="16985" w:orient="portrait"/>
          <w:cols w:equalWidth="0" w:num="3">
            <w:col w:w="2580" w:space="720"/>
            <w:col w:w="2940" w:space="140"/>
            <w:col w:w="3020"/>
          </w:cols>
          <w:pgMar w:left="1440" w:top="1341" w:right="1059" w:bottom="0" w:gutter="0" w:footer="0" w:header="0"/>
          <w:type w:val="continuous"/>
        </w:sectPr>
      </w:pPr>
    </w:p>
    <w:p>
      <w:pPr>
        <w:ind w:left="140"/>
        <w:spacing w:after="0"/>
        <w:rPr>
          <w:sz w:val="20"/>
          <w:szCs w:val="20"/>
          <w:color w:val="auto"/>
        </w:rPr>
      </w:pPr>
      <w:r>
        <w:rPr>
          <w:rFonts w:ascii="Arial" w:cs="Arial" w:eastAsia="Arial" w:hAnsi="Arial"/>
          <w:sz w:val="16"/>
          <w:szCs w:val="16"/>
          <w:color w:val="auto"/>
        </w:rPr>
        <w:t>Check the appropriate box:</w:t>
      </w:r>
    </w:p>
    <w:p>
      <w:pPr>
        <w:sectPr>
          <w:pgSz w:w="11900" w:h="16985" w:orient="portrait"/>
          <w:cols w:equalWidth="0" w:num="1">
            <w:col w:w="9400"/>
          </w:cols>
          <w:pgMar w:left="1440" w:top="1341" w:right="1059" w:bottom="0" w:gutter="0" w:footer="0" w:header="0"/>
          <w:type w:val="continuous"/>
        </w:sectPr>
      </w:pPr>
    </w:p>
    <w:p>
      <w:pPr>
        <w:spacing w:after="0" w:line="208" w:lineRule="exact"/>
        <w:rPr>
          <w:sz w:val="24"/>
          <w:szCs w:val="24"/>
          <w:color w:val="auto"/>
        </w:rPr>
      </w:pPr>
    </w:p>
    <w:p>
      <w:pPr>
        <w:ind w:left="720" w:hanging="542"/>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9" w:lineRule="exact"/>
        <w:rPr>
          <w:rFonts w:ascii="MS PGothic" w:cs="MS PGothic" w:eastAsia="MS PGothic" w:hAnsi="MS PGothic"/>
          <w:sz w:val="16"/>
          <w:szCs w:val="16"/>
          <w:color w:val="auto"/>
        </w:rPr>
      </w:pPr>
    </w:p>
    <w:p>
      <w:pPr>
        <w:ind w:left="720" w:hanging="542"/>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329" w:lineRule="exact"/>
        <w:rPr>
          <w:sz w:val="24"/>
          <w:szCs w:val="24"/>
          <w:color w:val="auto"/>
        </w:rPr>
      </w:pPr>
    </w:p>
    <w:p>
      <w:pPr>
        <w:ind w:left="720" w:hanging="542"/>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329" w:lineRule="exact"/>
        <w:rPr>
          <w:sz w:val="24"/>
          <w:szCs w:val="24"/>
          <w:color w:val="auto"/>
        </w:rPr>
      </w:pPr>
    </w:p>
    <w:p>
      <w:pPr>
        <w:ind w:left="720" w:hanging="542"/>
        <w:spacing w:after="0"/>
        <w:tabs>
          <w:tab w:leader="none" w:pos="7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29" w:lineRule="exact"/>
        <w:rPr>
          <w:rFonts w:ascii="MS PGothic" w:cs="MS PGothic" w:eastAsia="MS PGothic" w:hAnsi="MS PGothic"/>
          <w:sz w:val="16"/>
          <w:szCs w:val="16"/>
          <w:color w:val="auto"/>
        </w:rPr>
      </w:pPr>
    </w:p>
    <w:p>
      <w:pPr>
        <w:ind w:left="720" w:hanging="542"/>
        <w:spacing w:after="0"/>
        <w:tabs>
          <w:tab w:leader="none" w:pos="7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97" w:lineRule="exact"/>
        <w:rPr>
          <w:sz w:val="24"/>
          <w:szCs w:val="24"/>
          <w:color w:val="auto"/>
        </w:rPr>
      </w:pPr>
    </w:p>
    <w:p>
      <w:pPr>
        <w:jc w:val="center"/>
        <w:ind w:right="260"/>
        <w:spacing w:after="0"/>
        <w:rPr>
          <w:sz w:val="20"/>
          <w:szCs w:val="20"/>
          <w:color w:val="auto"/>
        </w:rPr>
      </w:pPr>
      <w:r>
        <w:rPr>
          <w:rFonts w:ascii="Arial" w:cs="Arial" w:eastAsia="Arial" w:hAnsi="Arial"/>
          <w:sz w:val="36"/>
          <w:szCs w:val="36"/>
          <w:b w:val="1"/>
          <w:bCs w:val="1"/>
          <w:color w:val="auto"/>
        </w:rPr>
        <w:t>Carter's, Inc.</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2"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Not applicable.</w:t>
      </w:r>
    </w:p>
    <w:p>
      <w:pPr>
        <w:ind w:left="19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65" w:lineRule="exact"/>
        <w:rPr>
          <w:sz w:val="24"/>
          <w:szCs w:val="24"/>
          <w:color w:val="auto"/>
        </w:rPr>
      </w:pPr>
    </w:p>
    <w:p>
      <w:pPr>
        <w:ind w:left="140"/>
        <w:spacing w:after="0"/>
        <w:rPr>
          <w:sz w:val="20"/>
          <w:szCs w:val="20"/>
          <w:color w:val="auto"/>
        </w:rPr>
      </w:pPr>
      <w:r>
        <w:rPr>
          <w:rFonts w:ascii="Arial" w:cs="Arial" w:eastAsia="Arial" w:hAnsi="Arial"/>
          <w:sz w:val="16"/>
          <w:szCs w:val="16"/>
          <w:color w:val="auto"/>
        </w:rPr>
        <w:t>Payment of Filing Fee (Check the appropriate box):</w:t>
      </w:r>
    </w:p>
    <w:p>
      <w:pPr>
        <w:spacing w:after="0" w:line="208" w:lineRule="exact"/>
        <w:rPr>
          <w:sz w:val="24"/>
          <w:szCs w:val="24"/>
          <w:color w:val="auto"/>
        </w:rPr>
      </w:pPr>
    </w:p>
    <w:p>
      <w:pPr>
        <w:ind w:left="660" w:hanging="482"/>
        <w:spacing w:after="0"/>
        <w:tabs>
          <w:tab w:leader="none" w:pos="6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sz w:val="24"/>
          <w:szCs w:val="24"/>
          <w:color w:val="auto"/>
        </w:rPr>
      </w:pPr>
    </w:p>
    <w:p>
      <w:pPr>
        <w:ind w:left="660" w:hanging="482"/>
        <w:spacing w:after="0"/>
        <w:tabs>
          <w:tab w:leader="none" w:pos="6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ind w:left="660" w:hanging="482"/>
        <w:spacing w:after="0"/>
        <w:tabs>
          <w:tab w:leader="none" w:pos="6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1835785</wp:posOffset>
            </wp:positionV>
            <wp:extent cx="6810375" cy="2047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2047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40"/>
        <w:spacing w:after="0"/>
        <w:rPr>
          <w:sz w:val="20"/>
          <w:szCs w:val="20"/>
          <w:color w:val="auto"/>
        </w:rPr>
      </w:pPr>
      <w:r>
        <w:rPr>
          <w:rFonts w:ascii="Arial" w:cs="Arial" w:eastAsia="Arial" w:hAnsi="Arial"/>
          <w:sz w:val="20"/>
          <w:szCs w:val="20"/>
          <w:color w:val="auto"/>
        </w:rPr>
        <w:t>April 4, 2025</w:t>
      </w:r>
    </w:p>
    <w:p>
      <w:pPr>
        <w:spacing w:after="0" w:line="175" w:lineRule="exact"/>
        <w:rPr>
          <w:sz w:val="24"/>
          <w:szCs w:val="24"/>
          <w:color w:val="auto"/>
        </w:rPr>
      </w:pPr>
    </w:p>
    <w:p>
      <w:pPr>
        <w:ind w:left="140"/>
        <w:spacing w:after="0"/>
        <w:rPr>
          <w:sz w:val="20"/>
          <w:szCs w:val="20"/>
          <w:color w:val="auto"/>
        </w:rPr>
      </w:pPr>
      <w:r>
        <w:rPr>
          <w:rFonts w:ascii="Arial" w:cs="Arial" w:eastAsia="Arial" w:hAnsi="Arial"/>
          <w:sz w:val="20"/>
          <w:szCs w:val="20"/>
          <w:color w:val="auto"/>
        </w:rPr>
        <w:t>Dear Shareholder,</w:t>
      </w:r>
    </w:p>
    <w:p>
      <w:pPr>
        <w:spacing w:after="0" w:line="175" w:lineRule="exact"/>
        <w:rPr>
          <w:sz w:val="24"/>
          <w:szCs w:val="24"/>
          <w:color w:val="auto"/>
        </w:rPr>
      </w:pPr>
    </w:p>
    <w:p>
      <w:pPr>
        <w:ind w:left="140"/>
        <w:spacing w:after="0" w:line="300" w:lineRule="auto"/>
        <w:rPr>
          <w:sz w:val="20"/>
          <w:szCs w:val="20"/>
          <w:color w:val="auto"/>
        </w:rPr>
      </w:pPr>
      <w:r>
        <w:rPr>
          <w:rFonts w:ascii="Arial" w:cs="Arial" w:eastAsia="Arial" w:hAnsi="Arial"/>
          <w:sz w:val="20"/>
          <w:szCs w:val="20"/>
          <w:color w:val="auto"/>
        </w:rPr>
        <w:t>It is my pleasure to invite you to attend our 2025 Annual Meeting of Shareholders on Wednesday, May 14, 2025 (the “Annual Meeting”). The meeting will be held in a virtual format.</w:t>
      </w:r>
    </w:p>
    <w:p>
      <w:pPr>
        <w:sectPr>
          <w:pgSz w:w="11900" w:h="16985" w:orient="portrait"/>
          <w:cols w:equalWidth="0" w:num="1">
            <w:col w:w="9400"/>
          </w:cols>
          <w:pgMar w:left="1440" w:top="1341" w:right="1059" w:bottom="0" w:gutter="0" w:footer="0" w:header="0"/>
          <w:type w:val="continuous"/>
        </w:sectPr>
      </w:pPr>
    </w:p>
    <w:bookmarkStart w:id="1" w:name="page2"/>
    <w:bookmarkEnd w:id="1"/>
    <w:p>
      <w:pPr>
        <w:ind w:left="140" w:right="40"/>
        <w:spacing w:after="0" w:line="27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08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6808470"/>
                    </a:xfrm>
                    <a:prstGeom prst="rect">
                      <a:avLst/>
                    </a:prstGeom>
                    <a:noFill/>
                  </pic:spPr>
                </pic:pic>
              </a:graphicData>
            </a:graphic>
          </wp:anchor>
        </w:drawing>
        <w:t>The attached 2025 Notice of Annual Meeting of Shareholders and Proxy Statement describe the formal business to be conducted at the meeting. Whether or not you plan to attend the Annual Meeting, your shares can be represented if you promptly submit your voting instructions over the internet, by telephone, by completing, signing, dating, and returning your proxy card in the enclosed envelope, or by following the instructions you have received from your broker or other nominee.</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On behalf of our Board of Directors and Leadership Team, thank you for your investment in Carter's, Inc.</w:t>
      </w: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William J. Montgoris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Non-Executive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4320540</wp:posOffset>
            </wp:positionV>
            <wp:extent cx="6810375" cy="3625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362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23054"/>
        </w:rPr>
        <w:t>2025 NOTICE OF ANNUAL MEETING OF SHAREHOLDERS</w:t>
      </w:r>
    </w:p>
    <w:p>
      <w:pPr>
        <w:spacing w:after="0" w:line="168" w:lineRule="exact"/>
        <w:rPr>
          <w:sz w:val="20"/>
          <w:szCs w:val="20"/>
          <w:color w:val="auto"/>
        </w:rPr>
      </w:pPr>
    </w:p>
    <w:p>
      <w:pPr>
        <w:ind w:left="140" w:right="480"/>
        <w:spacing w:after="0" w:line="217" w:lineRule="auto"/>
        <w:rPr>
          <w:sz w:val="20"/>
          <w:szCs w:val="20"/>
          <w:color w:val="auto"/>
        </w:rPr>
      </w:pPr>
      <w:r>
        <w:rPr>
          <w:rFonts w:ascii="Arial" w:cs="Arial" w:eastAsia="Arial" w:hAnsi="Arial"/>
          <w:sz w:val="17"/>
          <w:szCs w:val="17"/>
          <w:color w:val="auto"/>
        </w:rPr>
        <w:t>This Meeting Notice highlights information described in other parts of this 2025 Proxy Statement and does not contain all information you should consider in voting. Please read the entire 2025 Proxy Statement carefully before</w:t>
      </w:r>
    </w:p>
    <w:p>
      <w:pPr>
        <w:ind w:left="140"/>
        <w:spacing w:after="0"/>
        <w:rPr>
          <w:sz w:val="20"/>
          <w:szCs w:val="20"/>
          <w:color w:val="auto"/>
        </w:rPr>
      </w:pPr>
      <w:r>
        <w:rPr>
          <w:rFonts w:ascii="Arial" w:cs="Arial" w:eastAsia="Arial" w:hAnsi="Arial"/>
          <w:sz w:val="17"/>
          <w:szCs w:val="17"/>
          <w:color w:val="auto"/>
        </w:rPr>
        <w:t>voting.</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23054"/>
        </w:rPr>
        <w:t>To our shareholders,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You are invited to attend our 2025 Annual Meeting to be held as follows in a virtual meeting format:</w:t>
      </w:r>
    </w:p>
    <w:p>
      <w:pPr>
        <w:sectPr>
          <w:pgSz w:w="11900" w:h="16838" w:orient="portrait"/>
          <w:cols w:equalWidth="0" w:num="1">
            <w:col w:w="9240"/>
          </w:cols>
          <w:pgMar w:left="1440" w:top="280"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123054"/>
        </w:rPr>
        <w:t>ITEMS OF BUSINESS</w:t>
      </w:r>
    </w:p>
    <w:p>
      <w:pPr>
        <w:sectPr>
          <w:pgSz w:w="11900" w:h="16838" w:orient="portrait"/>
          <w:cols w:equalWidth="0" w:num="1">
            <w:col w:w="9240"/>
          </w:cols>
          <w:pgMar w:left="1440" w:top="280" w:right="1219" w:bottom="0" w:gutter="0" w:footer="0" w:header="0"/>
          <w:type w:val="continuous"/>
        </w:sectPr>
      </w:pPr>
    </w:p>
    <w:bookmarkStart w:id="2" w:name="page3"/>
    <w:bookmarkEnd w:id="2"/>
    <w:tbl>
      <w:tblPr>
        <w:tblLayout w:type="fixed"/>
        <w:tblInd w:w="120" w:type="dxa"/>
        <w:tblCellMar>
          <w:top w:w="0" w:type="dxa"/>
          <w:left w:w="0" w:type="dxa"/>
          <w:bottom w:w="0" w:type="dxa"/>
          <w:right w:w="0" w:type="dxa"/>
        </w:tblCellMar>
      </w:tblPr>
      <w:tr>
        <w:trPr>
          <w:trHeight w:val="184"/>
        </w:trPr>
        <w:tc>
          <w:tcPr>
            <w:tcW w:w="1980" w:type="dxa"/>
            <w:vAlign w:val="bottom"/>
            <w:gridSpan w:val="2"/>
            <w:shd w:val="clear" w:color="auto" w:fill="123054"/>
          </w:tcPr>
          <w:p>
            <w:pPr>
              <w:ind w:left="760"/>
              <w:spacing w:after="0"/>
              <w:rPr>
                <w:sz w:val="20"/>
                <w:szCs w:val="20"/>
                <w:color w:val="auto"/>
              </w:rPr>
            </w:pPr>
            <w:r>
              <w:rPr>
                <w:rFonts w:ascii="Arial" w:cs="Arial" w:eastAsia="Arial" w:hAnsi="Arial"/>
                <w:sz w:val="16"/>
                <w:szCs w:val="16"/>
                <w:b w:val="1"/>
                <w:bCs w:val="1"/>
                <w:color w:val="FFFFFF"/>
              </w:rPr>
              <w:t>Item</w:t>
            </w:r>
          </w:p>
        </w:tc>
        <w:tc>
          <w:tcPr>
            <w:tcW w:w="1660" w:type="dxa"/>
            <w:vAlign w:val="bottom"/>
            <w:tcBorders>
              <w:right w:val="single" w:sz="8" w:color="123054"/>
            </w:tcBorders>
            <w:shd w:val="clear" w:color="auto" w:fill="123054"/>
          </w:tcPr>
          <w:p>
            <w:pPr>
              <w:ind w:left="480"/>
              <w:spacing w:after="0"/>
              <w:rPr>
                <w:sz w:val="20"/>
                <w:szCs w:val="20"/>
                <w:color w:val="auto"/>
              </w:rPr>
            </w:pPr>
            <w:r>
              <w:rPr>
                <w:rFonts w:ascii="Arial" w:cs="Arial" w:eastAsia="Arial" w:hAnsi="Arial"/>
                <w:sz w:val="16"/>
                <w:szCs w:val="16"/>
                <w:b w:val="1"/>
                <w:bCs w:val="1"/>
                <w:color w:val="FBFBFB"/>
              </w:rPr>
              <w:t>Board's</w:t>
            </w:r>
          </w:p>
        </w:tc>
        <w:tc>
          <w:tcPr>
            <w:tcW w:w="17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Voting Approval</w:t>
            </w:r>
          </w:p>
        </w:tc>
        <w:tc>
          <w:tcPr>
            <w:tcW w:w="1700" w:type="dxa"/>
            <w:vAlign w:val="bottom"/>
            <w:gridSpan w:val="2"/>
            <w:shd w:val="clear" w:color="auto" w:fill="123054"/>
          </w:tcPr>
          <w:p>
            <w:pPr>
              <w:ind w:left="100"/>
              <w:spacing w:after="0"/>
              <w:rPr>
                <w:sz w:val="20"/>
                <w:szCs w:val="20"/>
                <w:color w:val="auto"/>
              </w:rPr>
            </w:pPr>
            <w:r>
              <w:rPr>
                <w:rFonts w:ascii="Arial" w:cs="Arial" w:eastAsia="Arial" w:hAnsi="Arial"/>
                <w:sz w:val="16"/>
                <w:szCs w:val="16"/>
                <w:b w:val="1"/>
                <w:bCs w:val="1"/>
                <w:color w:val="FBFBFB"/>
              </w:rPr>
              <w:t>Effect of Abstention</w:t>
            </w:r>
          </w:p>
        </w:tc>
        <w:tc>
          <w:tcPr>
            <w:tcW w:w="1680" w:type="dxa"/>
            <w:vAlign w:val="bottom"/>
            <w:shd w:val="clear" w:color="auto" w:fill="123054"/>
          </w:tcPr>
          <w:p>
            <w:pPr>
              <w:ind w:left="60"/>
              <w:spacing w:after="0"/>
              <w:rPr>
                <w:sz w:val="20"/>
                <w:szCs w:val="20"/>
                <w:color w:val="auto"/>
              </w:rPr>
            </w:pPr>
            <w:r>
              <w:rPr>
                <w:rFonts w:ascii="Arial" w:cs="Arial" w:eastAsia="Arial" w:hAnsi="Arial"/>
                <w:sz w:val="16"/>
                <w:szCs w:val="16"/>
                <w:b w:val="1"/>
                <w:bCs w:val="1"/>
                <w:color w:val="FBFBFB"/>
                <w:w w:val="99"/>
              </w:rPr>
              <w:t>Effect of Broker Non-</w:t>
            </w:r>
          </w:p>
        </w:tc>
        <w:tc>
          <w:tcPr>
            <w:tcW w:w="20" w:type="dxa"/>
            <w:vAlign w:val="bottom"/>
          </w:tcPr>
          <w:p>
            <w:pPr>
              <w:spacing w:after="0"/>
              <w:rPr>
                <w:sz w:val="16"/>
                <w:szCs w:val="16"/>
                <w:color w:val="auto"/>
              </w:rPr>
            </w:pPr>
          </w:p>
        </w:tc>
      </w:tr>
      <w:tr>
        <w:trPr>
          <w:trHeight w:val="236"/>
        </w:trPr>
        <w:tc>
          <w:tcPr>
            <w:tcW w:w="1880" w:type="dxa"/>
            <w:vAlign w:val="bottom"/>
            <w:tcBorders>
              <w:bottom w:val="single" w:sz="8" w:color="123054"/>
              <w:right w:val="single" w:sz="8" w:color="123054"/>
            </w:tcBorders>
            <w:shd w:val="clear" w:color="auto" w:fill="123054"/>
          </w:tcPr>
          <w:p>
            <w:pPr>
              <w:spacing w:after="0"/>
              <w:rPr>
                <w:sz w:val="20"/>
                <w:szCs w:val="20"/>
                <w:color w:val="auto"/>
              </w:rPr>
            </w:pPr>
          </w:p>
        </w:tc>
        <w:tc>
          <w:tcPr>
            <w:tcW w:w="100" w:type="dxa"/>
            <w:vAlign w:val="bottom"/>
            <w:tcBorders>
              <w:bottom w:val="single" w:sz="8" w:color="123054"/>
            </w:tcBorders>
            <w:shd w:val="clear" w:color="auto" w:fill="123054"/>
          </w:tcPr>
          <w:p>
            <w:pPr>
              <w:spacing w:after="0"/>
              <w:rPr>
                <w:sz w:val="20"/>
                <w:szCs w:val="20"/>
                <w:color w:val="auto"/>
              </w:rPr>
            </w:pPr>
          </w:p>
        </w:tc>
        <w:tc>
          <w:tcPr>
            <w:tcW w:w="1660" w:type="dxa"/>
            <w:vAlign w:val="bottom"/>
            <w:tcBorders>
              <w:bottom w:val="single" w:sz="8" w:color="123054"/>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Recommendation</w:t>
            </w:r>
          </w:p>
        </w:tc>
        <w:tc>
          <w:tcPr>
            <w:tcW w:w="1740" w:type="dxa"/>
            <w:vAlign w:val="bottom"/>
            <w:tcBorders>
              <w:bottom w:val="single" w:sz="8" w:color="123054"/>
              <w:right w:val="single" w:sz="8" w:color="123054"/>
            </w:tcBorders>
            <w:shd w:val="clear" w:color="auto" w:fill="123054"/>
          </w:tcPr>
          <w:p>
            <w:pPr>
              <w:ind w:left="520"/>
              <w:spacing w:after="0"/>
              <w:rPr>
                <w:sz w:val="20"/>
                <w:szCs w:val="20"/>
                <w:color w:val="auto"/>
              </w:rPr>
            </w:pPr>
            <w:r>
              <w:rPr>
                <w:rFonts w:ascii="Arial" w:cs="Arial" w:eastAsia="Arial" w:hAnsi="Arial"/>
                <w:sz w:val="16"/>
                <w:szCs w:val="16"/>
                <w:b w:val="1"/>
                <w:bCs w:val="1"/>
                <w:color w:val="FBFBFB"/>
              </w:rPr>
              <w:t>Standard</w:t>
            </w:r>
          </w:p>
        </w:tc>
        <w:tc>
          <w:tcPr>
            <w:tcW w:w="1640" w:type="dxa"/>
            <w:vAlign w:val="bottom"/>
            <w:tcBorders>
              <w:bottom w:val="single" w:sz="8" w:color="123054"/>
              <w:right w:val="single" w:sz="8" w:color="123054"/>
            </w:tcBorders>
            <w:shd w:val="clear" w:color="auto" w:fill="123054"/>
          </w:tcPr>
          <w:p>
            <w:pPr>
              <w:spacing w:after="0"/>
              <w:rPr>
                <w:sz w:val="20"/>
                <w:szCs w:val="20"/>
                <w:color w:val="auto"/>
              </w:rPr>
            </w:pPr>
          </w:p>
        </w:tc>
        <w:tc>
          <w:tcPr>
            <w:tcW w:w="60" w:type="dxa"/>
            <w:vAlign w:val="bottom"/>
            <w:tcBorders>
              <w:bottom w:val="single" w:sz="8" w:color="123054"/>
            </w:tcBorders>
            <w:shd w:val="clear" w:color="auto" w:fill="123054"/>
          </w:tcPr>
          <w:p>
            <w:pPr>
              <w:spacing w:after="0"/>
              <w:rPr>
                <w:sz w:val="20"/>
                <w:szCs w:val="20"/>
                <w:color w:val="auto"/>
              </w:rPr>
            </w:pPr>
          </w:p>
        </w:tc>
        <w:tc>
          <w:tcPr>
            <w:tcW w:w="1680" w:type="dxa"/>
            <w:vAlign w:val="bottom"/>
            <w:tcBorders>
              <w:bottom w:val="single" w:sz="8" w:color="123054"/>
            </w:tcBorders>
            <w:shd w:val="clear" w:color="auto" w:fill="123054"/>
          </w:tcPr>
          <w:p>
            <w:pPr>
              <w:ind w:left="640"/>
              <w:spacing w:after="0"/>
              <w:rPr>
                <w:sz w:val="20"/>
                <w:szCs w:val="20"/>
                <w:color w:val="auto"/>
              </w:rPr>
            </w:pPr>
            <w:r>
              <w:rPr>
                <w:rFonts w:ascii="Arial" w:cs="Arial" w:eastAsia="Arial" w:hAnsi="Arial"/>
                <w:sz w:val="16"/>
                <w:szCs w:val="16"/>
                <w:b w:val="1"/>
                <w:bCs w:val="1"/>
                <w:color w:val="FBFBFB"/>
              </w:rPr>
              <w:t>Vote</w:t>
            </w:r>
          </w:p>
        </w:tc>
        <w:tc>
          <w:tcPr>
            <w:tcW w:w="20" w:type="dxa"/>
            <w:vAlign w:val="bottom"/>
          </w:tcPr>
          <w:p>
            <w:pPr>
              <w:spacing w:after="0"/>
              <w:rPr>
                <w:sz w:val="20"/>
                <w:szCs w:val="20"/>
                <w:color w:val="auto"/>
              </w:rPr>
            </w:pPr>
          </w:p>
        </w:tc>
      </w:tr>
      <w:tr>
        <w:trPr>
          <w:trHeight w:val="202"/>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Election of 11 nominated</w:t>
            </w:r>
          </w:p>
        </w:tc>
        <w:tc>
          <w:tcPr>
            <w:tcW w:w="100" w:type="dxa"/>
            <w:vAlign w:val="bottom"/>
          </w:tcPr>
          <w:p>
            <w:pPr>
              <w:spacing w:after="0"/>
              <w:rPr>
                <w:sz w:val="17"/>
                <w:szCs w:val="17"/>
                <w:color w:val="auto"/>
              </w:rPr>
            </w:pPr>
          </w:p>
        </w:tc>
        <w:tc>
          <w:tcPr>
            <w:tcW w:w="16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FOR</w:t>
            </w:r>
          </w:p>
        </w:tc>
        <w:tc>
          <w:tcPr>
            <w:tcW w:w="17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More votes “For” than</w:t>
            </w:r>
          </w:p>
        </w:tc>
        <w:tc>
          <w:tcPr>
            <w:tcW w:w="1640" w:type="dxa"/>
            <w:vAlign w:val="bottom"/>
            <w:tcBorders>
              <w:right w:val="single" w:sz="8" w:color="123054"/>
            </w:tcBorders>
          </w:tcPr>
          <w:p>
            <w:pPr>
              <w:ind w:left="520"/>
              <w:spacing w:after="0"/>
              <w:rPr>
                <w:sz w:val="20"/>
                <w:szCs w:val="20"/>
                <w:color w:val="auto"/>
              </w:rPr>
            </w:pPr>
            <w:r>
              <w:rPr>
                <w:rFonts w:ascii="Arial" w:cs="Arial" w:eastAsia="Arial" w:hAnsi="Arial"/>
                <w:sz w:val="16"/>
                <w:szCs w:val="16"/>
                <w:color w:val="auto"/>
              </w:rPr>
              <w:t>No effect</w:t>
            </w:r>
          </w:p>
        </w:tc>
        <w:tc>
          <w:tcPr>
            <w:tcW w:w="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20" w:type="dxa"/>
            <w:vAlign w:val="bottom"/>
          </w:tcPr>
          <w:p>
            <w:pPr>
              <w:spacing w:after="0"/>
              <w:rPr>
                <w:sz w:val="17"/>
                <w:szCs w:val="17"/>
                <w:color w:val="auto"/>
              </w:rPr>
            </w:pPr>
          </w:p>
        </w:tc>
      </w:tr>
      <w:tr>
        <w:trPr>
          <w:trHeight w:val="216"/>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directors</w:t>
            </w:r>
          </w:p>
        </w:tc>
        <w:tc>
          <w:tcPr>
            <w:tcW w:w="100" w:type="dxa"/>
            <w:vAlign w:val="bottom"/>
          </w:tcPr>
          <w:p>
            <w:pPr>
              <w:spacing w:after="0"/>
              <w:rPr>
                <w:sz w:val="18"/>
                <w:szCs w:val="18"/>
                <w:color w:val="auto"/>
              </w:rPr>
            </w:pPr>
          </w:p>
        </w:tc>
        <w:tc>
          <w:tcPr>
            <w:tcW w:w="1660" w:type="dxa"/>
            <w:vAlign w:val="bottom"/>
            <w:tcBorders>
              <w:right w:val="single" w:sz="8" w:color="123054"/>
            </w:tcBorders>
          </w:tcPr>
          <w:p>
            <w:pPr>
              <w:spacing w:after="0"/>
              <w:rPr>
                <w:sz w:val="18"/>
                <w:szCs w:val="18"/>
                <w:color w:val="auto"/>
              </w:rPr>
            </w:pPr>
          </w:p>
        </w:tc>
        <w:tc>
          <w:tcPr>
            <w:tcW w:w="17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"Against"</w:t>
            </w:r>
          </w:p>
        </w:tc>
        <w:tc>
          <w:tcPr>
            <w:tcW w:w="1640" w:type="dxa"/>
            <w:vAlign w:val="bottom"/>
            <w:tcBorders>
              <w:right w:val="single" w:sz="8" w:color="123054"/>
            </w:tcBorders>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80" w:type="dxa"/>
            <w:vAlign w:val="bottom"/>
            <w:tcBorders>
              <w:right w:val="single" w:sz="8" w:color="123054"/>
            </w:tcBorders>
            <w:shd w:val="clear" w:color="auto" w:fill="E4E4E4"/>
          </w:tcPr>
          <w:p>
            <w:pPr>
              <w:ind w:left="60"/>
              <w:spacing w:after="0"/>
              <w:rPr>
                <w:sz w:val="20"/>
                <w:szCs w:val="20"/>
                <w:color w:val="auto"/>
              </w:rPr>
            </w:pPr>
            <w:r>
              <w:rPr>
                <w:rFonts w:ascii="Arial" w:cs="Arial" w:eastAsia="Arial" w:hAnsi="Arial"/>
                <w:sz w:val="16"/>
                <w:szCs w:val="16"/>
                <w:color w:val="auto"/>
              </w:rPr>
              <w:t>Advisory approval of</w:t>
            </w:r>
          </w:p>
        </w:tc>
        <w:tc>
          <w:tcPr>
            <w:tcW w:w="100" w:type="dxa"/>
            <w:vAlign w:val="bottom"/>
            <w:shd w:val="clear" w:color="auto" w:fill="E4E4E4"/>
          </w:tcPr>
          <w:p>
            <w:pPr>
              <w:spacing w:after="0"/>
              <w:rPr>
                <w:sz w:val="18"/>
                <w:szCs w:val="18"/>
                <w:color w:val="auto"/>
              </w:rPr>
            </w:pPr>
          </w:p>
        </w:tc>
        <w:tc>
          <w:tcPr>
            <w:tcW w:w="166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FOR</w:t>
            </w:r>
          </w:p>
        </w:tc>
        <w:tc>
          <w:tcPr>
            <w:tcW w:w="17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More votes “For” than</w:t>
            </w:r>
          </w:p>
        </w:tc>
        <w:tc>
          <w:tcPr>
            <w:tcW w:w="1640" w:type="dxa"/>
            <w:vAlign w:val="bottom"/>
            <w:tcBorders>
              <w:right w:val="single" w:sz="8" w:color="123054"/>
            </w:tcBorders>
            <w:shd w:val="clear" w:color="auto" w:fill="E4E4E4"/>
          </w:tcPr>
          <w:p>
            <w:pPr>
              <w:ind w:left="520"/>
              <w:spacing w:after="0"/>
              <w:rPr>
                <w:sz w:val="20"/>
                <w:szCs w:val="20"/>
                <w:color w:val="auto"/>
              </w:rPr>
            </w:pPr>
            <w:r>
              <w:rPr>
                <w:rFonts w:ascii="Arial" w:cs="Arial" w:eastAsia="Arial" w:hAnsi="Arial"/>
                <w:sz w:val="16"/>
                <w:szCs w:val="16"/>
                <w:color w:val="auto"/>
              </w:rPr>
              <w:t>No effect</w:t>
            </w:r>
          </w:p>
        </w:tc>
        <w:tc>
          <w:tcPr>
            <w:tcW w:w="60" w:type="dxa"/>
            <w:vAlign w:val="bottom"/>
            <w:shd w:val="clear" w:color="auto" w:fill="E4E4E4"/>
          </w:tcPr>
          <w:p>
            <w:pPr>
              <w:spacing w:after="0"/>
              <w:rPr>
                <w:sz w:val="18"/>
                <w:szCs w:val="18"/>
                <w:color w:val="auto"/>
              </w:rPr>
            </w:pPr>
          </w:p>
        </w:tc>
        <w:tc>
          <w:tcPr>
            <w:tcW w:w="1680" w:type="dxa"/>
            <w:vAlign w:val="bottom"/>
            <w:shd w:val="clear" w:color="auto" w:fill="E4E4E4"/>
          </w:tcPr>
          <w:p>
            <w:pPr>
              <w:jc w:val="center"/>
              <w:spacing w:after="0"/>
              <w:rPr>
                <w:sz w:val="20"/>
                <w:szCs w:val="20"/>
                <w:color w:val="auto"/>
              </w:rPr>
            </w:pPr>
            <w:r>
              <w:rPr>
                <w:rFonts w:ascii="Arial" w:cs="Arial" w:eastAsia="Arial" w:hAnsi="Arial"/>
                <w:sz w:val="16"/>
                <w:szCs w:val="16"/>
                <w:color w:val="auto"/>
                <w:w w:val="99"/>
              </w:rPr>
              <w:t>No effect</w:t>
            </w:r>
          </w:p>
        </w:tc>
        <w:tc>
          <w:tcPr>
            <w:tcW w:w="20" w:type="dxa"/>
            <w:vAlign w:val="bottom"/>
          </w:tcPr>
          <w:p>
            <w:pPr>
              <w:spacing w:after="0"/>
              <w:rPr>
                <w:sz w:val="18"/>
                <w:szCs w:val="18"/>
                <w:color w:val="auto"/>
              </w:rPr>
            </w:pPr>
          </w:p>
        </w:tc>
      </w:tr>
      <w:tr>
        <w:trPr>
          <w:trHeight w:val="189"/>
        </w:trPr>
        <w:tc>
          <w:tcPr>
            <w:tcW w:w="1880" w:type="dxa"/>
            <w:vAlign w:val="bottom"/>
            <w:tcBorders>
              <w:right w:val="single" w:sz="8" w:color="123054"/>
            </w:tcBorders>
            <w:shd w:val="clear" w:color="auto" w:fill="E4E4E4"/>
          </w:tcPr>
          <w:p>
            <w:pPr>
              <w:ind w:left="60"/>
              <w:spacing w:after="0"/>
              <w:rPr>
                <w:sz w:val="20"/>
                <w:szCs w:val="20"/>
                <w:color w:val="auto"/>
              </w:rPr>
            </w:pPr>
            <w:r>
              <w:rPr>
                <w:rFonts w:ascii="Arial" w:cs="Arial" w:eastAsia="Arial" w:hAnsi="Arial"/>
                <w:sz w:val="16"/>
                <w:szCs w:val="16"/>
                <w:color w:val="auto"/>
              </w:rPr>
              <w:t>compensation of named</w:t>
            </w:r>
          </w:p>
        </w:tc>
        <w:tc>
          <w:tcPr>
            <w:tcW w:w="100" w:type="dxa"/>
            <w:vAlign w:val="bottom"/>
            <w:shd w:val="clear" w:color="auto" w:fill="E4E4E4"/>
          </w:tcPr>
          <w:p>
            <w:pPr>
              <w:spacing w:after="0"/>
              <w:rPr>
                <w:sz w:val="16"/>
                <w:szCs w:val="16"/>
                <w:color w:val="auto"/>
              </w:rPr>
            </w:pPr>
          </w:p>
        </w:tc>
        <w:tc>
          <w:tcPr>
            <w:tcW w:w="1660" w:type="dxa"/>
            <w:vAlign w:val="bottom"/>
            <w:tcBorders>
              <w:right w:val="single" w:sz="8" w:color="123054"/>
            </w:tcBorders>
            <w:shd w:val="clear" w:color="auto" w:fill="E4E4E4"/>
          </w:tcPr>
          <w:p>
            <w:pPr>
              <w:spacing w:after="0"/>
              <w:rPr>
                <w:sz w:val="16"/>
                <w:szCs w:val="16"/>
                <w:color w:val="auto"/>
              </w:rPr>
            </w:pPr>
          </w:p>
        </w:tc>
        <w:tc>
          <w:tcPr>
            <w:tcW w:w="17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"Against"</w:t>
            </w:r>
          </w:p>
        </w:tc>
        <w:tc>
          <w:tcPr>
            <w:tcW w:w="1640" w:type="dxa"/>
            <w:vAlign w:val="bottom"/>
            <w:tcBorders>
              <w:right w:val="single" w:sz="8" w:color="123054"/>
            </w:tcBorders>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c>
          <w:tcPr>
            <w:tcW w:w="1680" w:type="dxa"/>
            <w:vAlign w:val="bottom"/>
            <w:shd w:val="clear" w:color="auto" w:fill="E4E4E4"/>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880" w:type="dxa"/>
            <w:vAlign w:val="bottom"/>
            <w:tcBorders>
              <w:right w:val="single" w:sz="8" w:color="123054"/>
            </w:tcBorders>
            <w:shd w:val="clear" w:color="auto" w:fill="E4E4E4"/>
          </w:tcPr>
          <w:p>
            <w:pPr>
              <w:ind w:left="60"/>
              <w:spacing w:after="0"/>
              <w:rPr>
                <w:sz w:val="20"/>
                <w:szCs w:val="20"/>
                <w:color w:val="auto"/>
              </w:rPr>
            </w:pPr>
            <w:r>
              <w:rPr>
                <w:rFonts w:ascii="Arial" w:cs="Arial" w:eastAsia="Arial" w:hAnsi="Arial"/>
                <w:sz w:val="16"/>
                <w:szCs w:val="16"/>
                <w:color w:val="auto"/>
              </w:rPr>
              <w:t>executive officers</w:t>
            </w:r>
          </w:p>
        </w:tc>
        <w:tc>
          <w:tcPr>
            <w:tcW w:w="100" w:type="dxa"/>
            <w:vAlign w:val="bottom"/>
            <w:shd w:val="clear" w:color="auto" w:fill="E4E4E4"/>
          </w:tcPr>
          <w:p>
            <w:pPr>
              <w:spacing w:after="0"/>
              <w:rPr>
                <w:sz w:val="20"/>
                <w:szCs w:val="20"/>
                <w:color w:val="auto"/>
              </w:rPr>
            </w:pPr>
          </w:p>
        </w:tc>
        <w:tc>
          <w:tcPr>
            <w:tcW w:w="1660" w:type="dxa"/>
            <w:vAlign w:val="bottom"/>
            <w:tcBorders>
              <w:right w:val="single" w:sz="8" w:color="123054"/>
            </w:tcBorders>
            <w:shd w:val="clear" w:color="auto" w:fill="E4E4E4"/>
          </w:tcPr>
          <w:p>
            <w:pPr>
              <w:spacing w:after="0"/>
              <w:rPr>
                <w:sz w:val="20"/>
                <w:szCs w:val="20"/>
                <w:color w:val="auto"/>
              </w:rPr>
            </w:pPr>
          </w:p>
        </w:tc>
        <w:tc>
          <w:tcPr>
            <w:tcW w:w="1740" w:type="dxa"/>
            <w:vAlign w:val="bottom"/>
            <w:tcBorders>
              <w:right w:val="single" w:sz="8" w:color="123054"/>
            </w:tcBorders>
            <w:shd w:val="clear" w:color="auto" w:fill="E4E4E4"/>
          </w:tcPr>
          <w:p>
            <w:pPr>
              <w:spacing w:after="0"/>
              <w:rPr>
                <w:sz w:val="20"/>
                <w:szCs w:val="20"/>
                <w:color w:val="auto"/>
              </w:rPr>
            </w:pPr>
          </w:p>
        </w:tc>
        <w:tc>
          <w:tcPr>
            <w:tcW w:w="1640" w:type="dxa"/>
            <w:vAlign w:val="bottom"/>
            <w:tcBorders>
              <w:right w:val="single" w:sz="8" w:color="123054"/>
            </w:tcBorders>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1680" w:type="dxa"/>
            <w:vAlign w:val="bottom"/>
            <w:shd w:val="clear" w:color="auto" w:fill="E4E4E4"/>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Ratification of</w:t>
            </w:r>
          </w:p>
        </w:tc>
        <w:tc>
          <w:tcPr>
            <w:tcW w:w="100" w:type="dxa"/>
            <w:vAlign w:val="bottom"/>
          </w:tcPr>
          <w:p>
            <w:pPr>
              <w:spacing w:after="0"/>
              <w:rPr>
                <w:sz w:val="18"/>
                <w:szCs w:val="18"/>
                <w:color w:val="auto"/>
              </w:rPr>
            </w:pPr>
          </w:p>
        </w:tc>
        <w:tc>
          <w:tcPr>
            <w:tcW w:w="16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FOR</w:t>
            </w:r>
          </w:p>
        </w:tc>
        <w:tc>
          <w:tcPr>
            <w:tcW w:w="17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Majority of votes</w:t>
            </w:r>
          </w:p>
        </w:tc>
        <w:tc>
          <w:tcPr>
            <w:tcW w:w="1640" w:type="dxa"/>
            <w:vAlign w:val="bottom"/>
            <w:tcBorders>
              <w:right w:val="single" w:sz="8" w:color="123054"/>
            </w:tcBorders>
          </w:tcPr>
          <w:p>
            <w:pPr>
              <w:ind w:left="520"/>
              <w:spacing w:after="0"/>
              <w:rPr>
                <w:sz w:val="20"/>
                <w:szCs w:val="20"/>
                <w:color w:val="auto"/>
              </w:rPr>
            </w:pPr>
            <w:r>
              <w:rPr>
                <w:rFonts w:ascii="Arial" w:cs="Arial" w:eastAsia="Arial" w:hAnsi="Arial"/>
                <w:sz w:val="16"/>
                <w:szCs w:val="16"/>
                <w:color w:val="auto"/>
              </w:rPr>
              <w:t>No effect</w:t>
            </w:r>
          </w:p>
        </w:tc>
        <w:tc>
          <w:tcPr>
            <w:tcW w:w="6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6"/>
                <w:szCs w:val="16"/>
                <w:color w:val="auto"/>
              </w:rPr>
              <w:t>Not applicable</w:t>
            </w:r>
          </w:p>
        </w:tc>
      </w:tr>
      <w:tr>
        <w:trPr>
          <w:trHeight w:val="189"/>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appointment of</w:t>
            </w:r>
          </w:p>
        </w:tc>
        <w:tc>
          <w:tcPr>
            <w:tcW w:w="100" w:type="dxa"/>
            <w:vAlign w:val="bottom"/>
          </w:tcPr>
          <w:p>
            <w:pPr>
              <w:spacing w:after="0"/>
              <w:rPr>
                <w:sz w:val="16"/>
                <w:szCs w:val="16"/>
                <w:color w:val="auto"/>
              </w:rPr>
            </w:pPr>
          </w:p>
        </w:tc>
        <w:tc>
          <w:tcPr>
            <w:tcW w:w="1660" w:type="dxa"/>
            <w:vAlign w:val="bottom"/>
            <w:tcBorders>
              <w:right w:val="single" w:sz="8" w:color="123054"/>
            </w:tcBorders>
          </w:tcPr>
          <w:p>
            <w:pPr>
              <w:spacing w:after="0"/>
              <w:rPr>
                <w:sz w:val="16"/>
                <w:szCs w:val="16"/>
                <w:color w:val="auto"/>
              </w:rPr>
            </w:pPr>
          </w:p>
        </w:tc>
        <w:tc>
          <w:tcPr>
            <w:tcW w:w="17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properly cast at the</w:t>
            </w:r>
          </w:p>
        </w:tc>
        <w:tc>
          <w:tcPr>
            <w:tcW w:w="1640" w:type="dxa"/>
            <w:vAlign w:val="bottom"/>
            <w:tcBorders>
              <w:right w:val="single" w:sz="8" w:color="123054"/>
            </w:tcBorders>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w w:val="99"/>
              </w:rPr>
              <w:t>PricewaterhouseCoopers</w:t>
            </w:r>
          </w:p>
        </w:tc>
        <w:tc>
          <w:tcPr>
            <w:tcW w:w="100" w:type="dxa"/>
            <w:vAlign w:val="bottom"/>
          </w:tcPr>
          <w:p>
            <w:pPr>
              <w:spacing w:after="0"/>
              <w:rPr>
                <w:sz w:val="16"/>
                <w:szCs w:val="16"/>
                <w:color w:val="auto"/>
              </w:rPr>
            </w:pPr>
          </w:p>
        </w:tc>
        <w:tc>
          <w:tcPr>
            <w:tcW w:w="1660" w:type="dxa"/>
            <w:vAlign w:val="bottom"/>
            <w:tcBorders>
              <w:right w:val="single" w:sz="8" w:color="123054"/>
            </w:tcBorders>
          </w:tcPr>
          <w:p>
            <w:pPr>
              <w:spacing w:after="0"/>
              <w:rPr>
                <w:sz w:val="16"/>
                <w:szCs w:val="16"/>
                <w:color w:val="auto"/>
              </w:rPr>
            </w:pPr>
          </w:p>
        </w:tc>
        <w:tc>
          <w:tcPr>
            <w:tcW w:w="17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meeting</w:t>
            </w:r>
          </w:p>
        </w:tc>
        <w:tc>
          <w:tcPr>
            <w:tcW w:w="1640" w:type="dxa"/>
            <w:vAlign w:val="bottom"/>
            <w:tcBorders>
              <w:right w:val="single" w:sz="8" w:color="123054"/>
            </w:tcBorders>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18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LLP for fiscal 2025</w:t>
            </w:r>
          </w:p>
        </w:tc>
        <w:tc>
          <w:tcPr>
            <w:tcW w:w="100" w:type="dxa"/>
            <w:vAlign w:val="bottom"/>
          </w:tcPr>
          <w:p>
            <w:pPr>
              <w:spacing w:after="0"/>
              <w:rPr>
                <w:sz w:val="18"/>
                <w:szCs w:val="18"/>
                <w:color w:val="auto"/>
              </w:rPr>
            </w:pPr>
          </w:p>
        </w:tc>
        <w:tc>
          <w:tcPr>
            <w:tcW w:w="1660" w:type="dxa"/>
            <w:vAlign w:val="bottom"/>
            <w:tcBorders>
              <w:right w:val="single" w:sz="8" w:color="123054"/>
            </w:tcBorders>
          </w:tcPr>
          <w:p>
            <w:pPr>
              <w:spacing w:after="0"/>
              <w:rPr>
                <w:sz w:val="18"/>
                <w:szCs w:val="18"/>
                <w:color w:val="auto"/>
              </w:rPr>
            </w:pPr>
          </w:p>
        </w:tc>
        <w:tc>
          <w:tcPr>
            <w:tcW w:w="1740" w:type="dxa"/>
            <w:vAlign w:val="bottom"/>
            <w:tcBorders>
              <w:right w:val="single" w:sz="8" w:color="123054"/>
            </w:tcBorders>
          </w:tcPr>
          <w:p>
            <w:pPr>
              <w:spacing w:after="0"/>
              <w:rPr>
                <w:sz w:val="18"/>
                <w:szCs w:val="18"/>
                <w:color w:val="auto"/>
              </w:rPr>
            </w:pPr>
          </w:p>
        </w:tc>
        <w:tc>
          <w:tcPr>
            <w:tcW w:w="1640" w:type="dxa"/>
            <w:vAlign w:val="bottom"/>
            <w:tcBorders>
              <w:right w:val="single" w:sz="8" w:color="123054"/>
            </w:tcBorders>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1880" w:type="dxa"/>
            <w:vAlign w:val="bottom"/>
            <w:tcBorders>
              <w:right w:val="single" w:sz="8" w:color="123054"/>
            </w:tcBorders>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right w:val="single" w:sz="8" w:color="123054"/>
            </w:tcBorders>
          </w:tcPr>
          <w:p>
            <w:pPr>
              <w:spacing w:after="0"/>
              <w:rPr>
                <w:sz w:val="8"/>
                <w:szCs w:val="8"/>
                <w:color w:val="auto"/>
              </w:rPr>
            </w:pPr>
          </w:p>
        </w:tc>
        <w:tc>
          <w:tcPr>
            <w:tcW w:w="1740" w:type="dxa"/>
            <w:vAlign w:val="bottom"/>
            <w:tcBorders>
              <w:right w:val="single" w:sz="8" w:color="123054"/>
            </w:tcBorders>
          </w:tcPr>
          <w:p>
            <w:pPr>
              <w:spacing w:after="0"/>
              <w:rPr>
                <w:sz w:val="8"/>
                <w:szCs w:val="8"/>
                <w:color w:val="auto"/>
              </w:rPr>
            </w:pPr>
          </w:p>
        </w:tc>
        <w:tc>
          <w:tcPr>
            <w:tcW w:w="1640" w:type="dxa"/>
            <w:vAlign w:val="bottom"/>
            <w:tcBorders>
              <w:right w:val="single" w:sz="8" w:color="123054"/>
            </w:tcBorders>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23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5231130"/>
                    </a:xfrm>
                    <a:prstGeom prst="rect">
                      <a:avLst/>
                    </a:prstGeom>
                    <a:noFill/>
                  </pic:spPr>
                </pic:pic>
              </a:graphicData>
            </a:graphic>
          </wp:anchor>
        </w:drawing>
      </w:r>
    </w:p>
    <w:p>
      <w:pPr>
        <w:ind w:left="140" w:right="600"/>
        <w:spacing w:after="0" w:line="251" w:lineRule="auto"/>
        <w:rPr>
          <w:sz w:val="20"/>
          <w:szCs w:val="20"/>
          <w:color w:val="auto"/>
        </w:rPr>
      </w:pPr>
      <w:r>
        <w:rPr>
          <w:rFonts w:ascii="Arial" w:cs="Arial" w:eastAsia="Arial" w:hAnsi="Arial"/>
          <w:sz w:val="17"/>
          <w:szCs w:val="17"/>
          <w:color w:val="auto"/>
        </w:rPr>
        <w:t>In addition, at the Annual Meeting we will conduct any other business that may properly come before the meeting. See Question 18 of the “Questions and Answers About the 2025 Annual Meeting” beginning on page 78 for more information.</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23054"/>
        </w:rPr>
        <w:t>PROXY SOLICITATION</w:t>
      </w:r>
    </w:p>
    <w:p>
      <w:pPr>
        <w:spacing w:after="0" w:line="73" w:lineRule="exact"/>
        <w:rPr>
          <w:sz w:val="20"/>
          <w:szCs w:val="20"/>
          <w:color w:val="auto"/>
        </w:rPr>
      </w:pPr>
    </w:p>
    <w:p>
      <w:pPr>
        <w:ind w:left="140" w:right="780"/>
        <w:spacing w:after="0" w:line="251" w:lineRule="auto"/>
        <w:rPr>
          <w:sz w:val="20"/>
          <w:szCs w:val="20"/>
          <w:color w:val="auto"/>
        </w:rPr>
      </w:pPr>
      <w:r>
        <w:rPr>
          <w:rFonts w:ascii="Arial" w:cs="Arial" w:eastAsia="Arial" w:hAnsi="Arial"/>
          <w:sz w:val="17"/>
          <w:szCs w:val="17"/>
          <w:color w:val="auto"/>
        </w:rPr>
        <w:t>The Board solicits the enclosed proxy for the 2025 Annual Meeting and any adjournment or postponement of the 2025 Annual Meeting. Any proxy may be revoked at any time prior to its exercise at the 2025 Annual Meeting.</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23054"/>
        </w:rPr>
        <w:t>VOTING</w:t>
      </w:r>
    </w:p>
    <w:p>
      <w:pPr>
        <w:spacing w:after="0" w:line="60" w:lineRule="exact"/>
        <w:rPr>
          <w:sz w:val="20"/>
          <w:szCs w:val="20"/>
          <w:color w:val="auto"/>
        </w:rPr>
      </w:pPr>
    </w:p>
    <w:p>
      <w:pPr>
        <w:ind w:left="140" w:right="340"/>
        <w:spacing w:after="0" w:line="235" w:lineRule="auto"/>
        <w:rPr>
          <w:sz w:val="20"/>
          <w:szCs w:val="20"/>
          <w:color w:val="auto"/>
        </w:rPr>
      </w:pPr>
      <w:r>
        <w:rPr>
          <w:rFonts w:ascii="Arial" w:cs="Arial" w:eastAsia="Arial" w:hAnsi="Arial"/>
          <w:sz w:val="17"/>
          <w:szCs w:val="17"/>
          <w:color w:val="auto"/>
        </w:rPr>
        <w:t>You may vote if you held shares of Carter's common stock as of the record date (March 20, 2025). You are able to vote your shares by providing instructions to the proxy holders who will then vote in accordance with your instructions. We urge you to read the 2025 Proxy Statement carefully and to vote in accordance with the recommendations of the Board.</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23054"/>
        </w:rPr>
        <w:t>QUESTIONS AND ANSWERS ABOUT THE 2025 ANNUAL MEETING</w:t>
      </w:r>
    </w:p>
    <w:p>
      <w:pPr>
        <w:spacing w:after="0" w:line="141" w:lineRule="exact"/>
        <w:rPr>
          <w:sz w:val="20"/>
          <w:szCs w:val="20"/>
          <w:color w:val="auto"/>
        </w:rPr>
      </w:pPr>
    </w:p>
    <w:p>
      <w:pPr>
        <w:ind w:left="140" w:right="420"/>
        <w:spacing w:after="0" w:line="267" w:lineRule="auto"/>
        <w:rPr>
          <w:sz w:val="20"/>
          <w:szCs w:val="20"/>
          <w:color w:val="auto"/>
        </w:rPr>
      </w:pPr>
      <w:r>
        <w:rPr>
          <w:rFonts w:ascii="Arial" w:cs="Arial" w:eastAsia="Arial" w:hAnsi="Arial"/>
          <w:sz w:val="17"/>
          <w:szCs w:val="17"/>
          <w:color w:val="auto"/>
        </w:rPr>
        <w:t>We encourage you to review the section "Questions and Answers About the 2025 Annual Meeting" for answers to common questions about the virtual meeting, proxy materials, voting, and other topics.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Secretary</w:t>
      </w:r>
    </w:p>
    <w:p>
      <w:pPr>
        <w:spacing w:after="0" w:line="115" w:lineRule="exact"/>
        <w:rPr>
          <w:sz w:val="20"/>
          <w:szCs w:val="20"/>
          <w:color w:val="auto"/>
        </w:rPr>
      </w:pPr>
    </w:p>
    <w:p>
      <w:pPr>
        <w:ind w:left="3660"/>
        <w:spacing w:after="0"/>
        <w:rPr>
          <w:sz w:val="20"/>
          <w:szCs w:val="20"/>
          <w:color w:val="auto"/>
        </w:rPr>
      </w:pPr>
      <w:r>
        <w:rPr>
          <w:rFonts w:ascii="Arial" w:cs="Arial" w:eastAsia="Arial" w:hAnsi="Arial"/>
          <w:sz w:val="16"/>
          <w:szCs w:val="16"/>
          <w:i w:val="1"/>
          <w:iCs w:val="1"/>
          <w:color w:val="auto"/>
        </w:rPr>
        <w:t>Approximate Date of Mailing of Proxy Materials or Notice of Internet Availability:</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875665</wp:posOffset>
            </wp:positionV>
            <wp:extent cx="6810375" cy="5202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520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123054"/>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8160" w:type="dxa"/>
            <w:vAlign w:val="bottom"/>
          </w:tcPr>
          <w:p>
            <w:pPr>
              <w:spacing w:after="0"/>
              <w:rPr>
                <w:sz w:val="20"/>
                <w:szCs w:val="20"/>
                <w:color w:val="auto"/>
              </w:rPr>
            </w:pPr>
            <w:r>
              <w:rPr>
                <w:rFonts w:ascii="Arial" w:cs="Arial" w:eastAsia="Arial" w:hAnsi="Arial"/>
                <w:sz w:val="22"/>
                <w:szCs w:val="22"/>
                <w:color w:val="123054"/>
              </w:rPr>
              <w:t>BOARD OF DIRECTORS AND CORPORATE GOVERNANCE INFORMATION</w:t>
            </w:r>
          </w:p>
        </w:tc>
        <w:tc>
          <w:tcPr>
            <w:tcW w:w="1480" w:type="dxa"/>
            <w:vAlign w:val="bottom"/>
          </w:tcPr>
          <w:p>
            <w:pPr>
              <w:ind w:left="520"/>
              <w:spacing w:after="0"/>
              <w:rPr>
                <w:sz w:val="20"/>
                <w:szCs w:val="20"/>
                <w:color w:val="auto"/>
              </w:rPr>
            </w:pPr>
            <w:r>
              <w:rPr>
                <w:rFonts w:ascii="Arial" w:cs="Arial" w:eastAsia="Arial" w:hAnsi="Arial"/>
                <w:sz w:val="22"/>
                <w:szCs w:val="22"/>
                <w:color w:val="123054"/>
              </w:rPr>
              <w:t>2</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PROPOSAL NUMBER ONE – ELECTION OF DIRECTORS</w:t>
            </w:r>
          </w:p>
        </w:tc>
        <w:tc>
          <w:tcPr>
            <w:tcW w:w="1480" w:type="dxa"/>
            <w:vAlign w:val="bottom"/>
          </w:tcPr>
          <w:p>
            <w:pPr>
              <w:ind w:left="520"/>
              <w:spacing w:after="0"/>
              <w:rPr>
                <w:sz w:val="20"/>
                <w:szCs w:val="20"/>
                <w:color w:val="auto"/>
              </w:rPr>
            </w:pPr>
            <w:r>
              <w:rPr>
                <w:rFonts w:ascii="Arial" w:cs="Arial" w:eastAsia="Arial" w:hAnsi="Arial"/>
                <w:sz w:val="22"/>
                <w:szCs w:val="22"/>
                <w:color w:val="123054"/>
              </w:rPr>
              <w:t>26</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COMPENSATION OF DIRECTORS</w:t>
            </w:r>
          </w:p>
        </w:tc>
        <w:tc>
          <w:tcPr>
            <w:tcW w:w="1480" w:type="dxa"/>
            <w:vAlign w:val="bottom"/>
          </w:tcPr>
          <w:p>
            <w:pPr>
              <w:ind w:left="520"/>
              <w:spacing w:after="0"/>
              <w:rPr>
                <w:sz w:val="20"/>
                <w:szCs w:val="20"/>
                <w:color w:val="auto"/>
              </w:rPr>
            </w:pPr>
            <w:r>
              <w:rPr>
                <w:rFonts w:ascii="Arial" w:cs="Arial" w:eastAsia="Arial" w:hAnsi="Arial"/>
                <w:sz w:val="22"/>
                <w:szCs w:val="22"/>
                <w:color w:val="123054"/>
              </w:rPr>
              <w:t>27</w:t>
            </w:r>
          </w:p>
        </w:tc>
      </w:tr>
      <w:tr>
        <w:trPr>
          <w:trHeight w:val="364"/>
        </w:trPr>
        <w:tc>
          <w:tcPr>
            <w:tcW w:w="8160" w:type="dxa"/>
            <w:vAlign w:val="bottom"/>
          </w:tcPr>
          <w:p>
            <w:pPr>
              <w:spacing w:after="0"/>
              <w:rPr>
                <w:sz w:val="20"/>
                <w:szCs w:val="20"/>
                <w:color w:val="auto"/>
              </w:rPr>
            </w:pPr>
            <w:r>
              <w:rPr>
                <w:rFonts w:ascii="Arial" w:cs="Arial" w:eastAsia="Arial" w:hAnsi="Arial"/>
                <w:sz w:val="22"/>
                <w:szCs w:val="22"/>
                <w:color w:val="123054"/>
              </w:rPr>
              <w:t>EXECUTIVE OFFICERS’ BIOGRAPHICAL INFORMATION AND EXPERIENCE</w:t>
            </w:r>
          </w:p>
        </w:tc>
        <w:tc>
          <w:tcPr>
            <w:tcW w:w="1480" w:type="dxa"/>
            <w:vAlign w:val="bottom"/>
          </w:tcPr>
          <w:p>
            <w:pPr>
              <w:ind w:left="520"/>
              <w:spacing w:after="0"/>
              <w:rPr>
                <w:sz w:val="20"/>
                <w:szCs w:val="20"/>
                <w:color w:val="auto"/>
              </w:rPr>
            </w:pPr>
            <w:r>
              <w:rPr>
                <w:rFonts w:ascii="Arial" w:cs="Arial" w:eastAsia="Arial" w:hAnsi="Arial"/>
                <w:sz w:val="22"/>
                <w:szCs w:val="22"/>
                <w:color w:val="123054"/>
              </w:rPr>
              <w:t>29</w:t>
            </w:r>
          </w:p>
        </w:tc>
      </w:tr>
      <w:tr>
        <w:trPr>
          <w:trHeight w:val="284"/>
        </w:trPr>
        <w:tc>
          <w:tcPr>
            <w:tcW w:w="8160" w:type="dxa"/>
            <w:vAlign w:val="bottom"/>
          </w:tcPr>
          <w:p>
            <w:pPr>
              <w:spacing w:after="0"/>
              <w:rPr>
                <w:sz w:val="20"/>
                <w:szCs w:val="20"/>
                <w:color w:val="auto"/>
              </w:rPr>
            </w:pPr>
            <w:r>
              <w:rPr>
                <w:rFonts w:ascii="Arial" w:cs="Arial" w:eastAsia="Arial" w:hAnsi="Arial"/>
                <w:sz w:val="22"/>
                <w:szCs w:val="22"/>
                <w:color w:val="123054"/>
              </w:rPr>
              <w:t>COMPENSATION DISCUSSION AND ANALYSIS</w:t>
            </w:r>
          </w:p>
        </w:tc>
        <w:tc>
          <w:tcPr>
            <w:tcW w:w="1480" w:type="dxa"/>
            <w:vAlign w:val="bottom"/>
          </w:tcPr>
          <w:p>
            <w:pPr>
              <w:ind w:left="520"/>
              <w:spacing w:after="0"/>
              <w:rPr>
                <w:sz w:val="20"/>
                <w:szCs w:val="20"/>
                <w:color w:val="auto"/>
              </w:rPr>
            </w:pPr>
            <w:r>
              <w:rPr>
                <w:rFonts w:ascii="Arial" w:cs="Arial" w:eastAsia="Arial" w:hAnsi="Arial"/>
                <w:sz w:val="22"/>
                <w:szCs w:val="22"/>
                <w:color w:val="123054"/>
              </w:rPr>
              <w:t>34</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COMPENSATION &amp; HUMAN CAPITAL COMMITTEE REPORT</w:t>
            </w:r>
          </w:p>
        </w:tc>
        <w:tc>
          <w:tcPr>
            <w:tcW w:w="1480" w:type="dxa"/>
            <w:vAlign w:val="bottom"/>
          </w:tcPr>
          <w:p>
            <w:pPr>
              <w:ind w:left="520"/>
              <w:spacing w:after="0"/>
              <w:rPr>
                <w:sz w:val="20"/>
                <w:szCs w:val="20"/>
                <w:color w:val="auto"/>
              </w:rPr>
            </w:pPr>
            <w:r>
              <w:rPr>
                <w:rFonts w:ascii="Arial" w:cs="Arial" w:eastAsia="Arial" w:hAnsi="Arial"/>
                <w:sz w:val="22"/>
                <w:szCs w:val="22"/>
                <w:color w:val="123054"/>
              </w:rPr>
              <w:t>52</w:t>
            </w:r>
          </w:p>
        </w:tc>
      </w:tr>
      <w:tr>
        <w:trPr>
          <w:trHeight w:val="324"/>
        </w:trPr>
        <w:tc>
          <w:tcPr>
            <w:tcW w:w="9640" w:type="dxa"/>
            <w:vAlign w:val="bottom"/>
            <w:gridSpan w:val="2"/>
          </w:tcPr>
          <w:p>
            <w:pPr>
              <w:spacing w:after="0"/>
              <w:rPr>
                <w:sz w:val="20"/>
                <w:szCs w:val="20"/>
                <w:color w:val="auto"/>
              </w:rPr>
            </w:pPr>
            <w:r>
              <w:rPr>
                <w:rFonts w:ascii="Arial" w:cs="Arial" w:eastAsia="Arial" w:hAnsi="Arial"/>
                <w:sz w:val="22"/>
                <w:szCs w:val="22"/>
                <w:color w:val="123054"/>
                <w:w w:val="94"/>
              </w:rPr>
              <w:t>COMPENSATION &amp; HUMAN CAPITAL COMMITTEE INTERLOCKS AND INSIDER PARTICIPATION52</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FISCAL 2024 SUMMARY COMPENSATION TABLE</w:t>
            </w:r>
          </w:p>
        </w:tc>
        <w:tc>
          <w:tcPr>
            <w:tcW w:w="1480" w:type="dxa"/>
            <w:vAlign w:val="bottom"/>
          </w:tcPr>
          <w:p>
            <w:pPr>
              <w:ind w:left="520"/>
              <w:spacing w:after="0"/>
              <w:rPr>
                <w:sz w:val="20"/>
                <w:szCs w:val="20"/>
                <w:color w:val="auto"/>
              </w:rPr>
            </w:pPr>
            <w:r>
              <w:rPr>
                <w:rFonts w:ascii="Arial" w:cs="Arial" w:eastAsia="Arial" w:hAnsi="Arial"/>
                <w:sz w:val="22"/>
                <w:szCs w:val="22"/>
                <w:color w:val="123054"/>
              </w:rPr>
              <w:t>53</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FISCAL 2024 GRANTS OF PLAN-BASED AWARDS</w:t>
            </w:r>
          </w:p>
        </w:tc>
        <w:tc>
          <w:tcPr>
            <w:tcW w:w="1480" w:type="dxa"/>
            <w:vAlign w:val="bottom"/>
          </w:tcPr>
          <w:p>
            <w:pPr>
              <w:ind w:left="520"/>
              <w:spacing w:after="0"/>
              <w:rPr>
                <w:sz w:val="20"/>
                <w:szCs w:val="20"/>
                <w:color w:val="auto"/>
              </w:rPr>
            </w:pPr>
            <w:r>
              <w:rPr>
                <w:rFonts w:ascii="Arial" w:cs="Arial" w:eastAsia="Arial" w:hAnsi="Arial"/>
                <w:sz w:val="22"/>
                <w:szCs w:val="22"/>
                <w:color w:val="123054"/>
              </w:rPr>
              <w:t>55</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OUTSTANDING EQUITY AWARDS AT FISCAL 2024 YEAR-END</w:t>
            </w:r>
          </w:p>
        </w:tc>
        <w:tc>
          <w:tcPr>
            <w:tcW w:w="1480" w:type="dxa"/>
            <w:vAlign w:val="bottom"/>
          </w:tcPr>
          <w:p>
            <w:pPr>
              <w:ind w:left="520"/>
              <w:spacing w:after="0"/>
              <w:rPr>
                <w:sz w:val="20"/>
                <w:szCs w:val="20"/>
                <w:color w:val="auto"/>
              </w:rPr>
            </w:pPr>
            <w:r>
              <w:rPr>
                <w:rFonts w:ascii="Arial" w:cs="Arial" w:eastAsia="Arial" w:hAnsi="Arial"/>
                <w:sz w:val="22"/>
                <w:szCs w:val="22"/>
                <w:color w:val="123054"/>
              </w:rPr>
              <w:t>57</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OPTION EXERCISES AND STOCK VESTED IN FISCAL 2024</w:t>
            </w:r>
          </w:p>
        </w:tc>
        <w:tc>
          <w:tcPr>
            <w:tcW w:w="1480" w:type="dxa"/>
            <w:vAlign w:val="bottom"/>
          </w:tcPr>
          <w:p>
            <w:pPr>
              <w:ind w:left="520"/>
              <w:spacing w:after="0"/>
              <w:rPr>
                <w:sz w:val="20"/>
                <w:szCs w:val="20"/>
                <w:color w:val="auto"/>
              </w:rPr>
            </w:pPr>
            <w:r>
              <w:rPr>
                <w:rFonts w:ascii="Arial" w:cs="Arial" w:eastAsia="Arial" w:hAnsi="Arial"/>
                <w:sz w:val="22"/>
                <w:szCs w:val="22"/>
                <w:color w:val="123054"/>
              </w:rPr>
              <w:t>59</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NONQUALIFIED DEFERRED COMPENSATION</w:t>
            </w:r>
          </w:p>
        </w:tc>
        <w:tc>
          <w:tcPr>
            <w:tcW w:w="1480" w:type="dxa"/>
            <w:vAlign w:val="bottom"/>
          </w:tcPr>
          <w:p>
            <w:pPr>
              <w:ind w:left="520"/>
              <w:spacing w:after="0"/>
              <w:rPr>
                <w:sz w:val="20"/>
                <w:szCs w:val="20"/>
                <w:color w:val="auto"/>
              </w:rPr>
            </w:pPr>
            <w:r>
              <w:rPr>
                <w:rFonts w:ascii="Arial" w:cs="Arial" w:eastAsia="Arial" w:hAnsi="Arial"/>
                <w:sz w:val="22"/>
                <w:szCs w:val="22"/>
                <w:color w:val="123054"/>
              </w:rPr>
              <w:t>60</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POTENTIAL PAYMENTS UPON TERMINATION OR CHANGE OF CONTROL</w:t>
            </w:r>
          </w:p>
        </w:tc>
        <w:tc>
          <w:tcPr>
            <w:tcW w:w="1480" w:type="dxa"/>
            <w:vAlign w:val="bottom"/>
          </w:tcPr>
          <w:p>
            <w:pPr>
              <w:ind w:left="520"/>
              <w:spacing w:after="0"/>
              <w:rPr>
                <w:sz w:val="20"/>
                <w:szCs w:val="20"/>
                <w:color w:val="auto"/>
              </w:rPr>
            </w:pPr>
            <w:r>
              <w:rPr>
                <w:rFonts w:ascii="Arial" w:cs="Arial" w:eastAsia="Arial" w:hAnsi="Arial"/>
                <w:sz w:val="22"/>
                <w:szCs w:val="22"/>
                <w:color w:val="123054"/>
              </w:rPr>
              <w:t>61</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PAY RATIO DISCLOSURE</w:t>
            </w:r>
          </w:p>
        </w:tc>
        <w:tc>
          <w:tcPr>
            <w:tcW w:w="1480" w:type="dxa"/>
            <w:vAlign w:val="bottom"/>
          </w:tcPr>
          <w:p>
            <w:pPr>
              <w:ind w:left="520"/>
              <w:spacing w:after="0"/>
              <w:rPr>
                <w:sz w:val="20"/>
                <w:szCs w:val="20"/>
                <w:color w:val="auto"/>
              </w:rPr>
            </w:pPr>
            <w:r>
              <w:rPr>
                <w:rFonts w:ascii="Arial" w:cs="Arial" w:eastAsia="Arial" w:hAnsi="Arial"/>
                <w:sz w:val="22"/>
                <w:szCs w:val="22"/>
                <w:color w:val="123054"/>
              </w:rPr>
              <w:t>64</w:t>
            </w:r>
          </w:p>
        </w:tc>
      </w:tr>
      <w:tr>
        <w:trPr>
          <w:trHeight w:val="324"/>
        </w:trPr>
        <w:tc>
          <w:tcPr>
            <w:tcW w:w="8160" w:type="dxa"/>
            <w:vAlign w:val="bottom"/>
          </w:tcPr>
          <w:p>
            <w:pPr>
              <w:spacing w:after="0"/>
              <w:rPr>
                <w:sz w:val="20"/>
                <w:szCs w:val="20"/>
                <w:color w:val="auto"/>
              </w:rPr>
            </w:pPr>
            <w:r>
              <w:rPr>
                <w:rFonts w:ascii="Arial" w:cs="Arial" w:eastAsia="Arial" w:hAnsi="Arial"/>
                <w:sz w:val="22"/>
                <w:szCs w:val="22"/>
                <w:color w:val="123054"/>
              </w:rPr>
              <w:t>PAY VERSUS PERFORMANCE DISCLOSURE</w:t>
            </w:r>
          </w:p>
        </w:tc>
        <w:tc>
          <w:tcPr>
            <w:tcW w:w="1480" w:type="dxa"/>
            <w:vAlign w:val="bottom"/>
          </w:tcPr>
          <w:p>
            <w:pPr>
              <w:ind w:left="520"/>
              <w:spacing w:after="0"/>
              <w:rPr>
                <w:sz w:val="20"/>
                <w:szCs w:val="20"/>
                <w:color w:val="auto"/>
              </w:rPr>
            </w:pPr>
            <w:r>
              <w:rPr>
                <w:rFonts w:ascii="Arial" w:cs="Arial" w:eastAsia="Arial" w:hAnsi="Arial"/>
                <w:sz w:val="22"/>
                <w:szCs w:val="22"/>
                <w:color w:val="123054"/>
              </w:rPr>
              <w:t>65</w:t>
            </w:r>
          </w:p>
        </w:tc>
      </w:tr>
      <w:tr>
        <w:trPr>
          <w:trHeight w:val="324"/>
        </w:trPr>
        <w:tc>
          <w:tcPr>
            <w:tcW w:w="9640" w:type="dxa"/>
            <w:vAlign w:val="bottom"/>
            <w:gridSpan w:val="2"/>
          </w:tcPr>
          <w:p>
            <w:pPr>
              <w:spacing w:after="0"/>
              <w:rPr>
                <w:sz w:val="20"/>
                <w:szCs w:val="20"/>
                <w:color w:val="auto"/>
              </w:rPr>
            </w:pPr>
            <w:r>
              <w:rPr>
                <w:rFonts w:ascii="Arial" w:cs="Arial" w:eastAsia="Arial" w:hAnsi="Arial"/>
                <w:sz w:val="22"/>
                <w:szCs w:val="22"/>
                <w:color w:val="123054"/>
                <w:w w:val="95"/>
              </w:rPr>
              <w:t>TRANSACTIONS WITH RELATED PERSONS, PROMOTERS, AND CERTAIN CONTROL 69PERSON</w:t>
            </w:r>
          </w:p>
        </w:tc>
      </w:tr>
      <w:tr>
        <w:trPr>
          <w:trHeight w:val="297"/>
        </w:trPr>
        <w:tc>
          <w:tcPr>
            <w:tcW w:w="9640" w:type="dxa"/>
            <w:vAlign w:val="bottom"/>
            <w:gridSpan w:val="2"/>
          </w:tcPr>
          <w:p>
            <w:pPr>
              <w:spacing w:after="0"/>
              <w:rPr>
                <w:sz w:val="20"/>
                <w:szCs w:val="20"/>
                <w:color w:val="auto"/>
              </w:rPr>
            </w:pPr>
            <w:r>
              <w:rPr>
                <w:rFonts w:ascii="Arial" w:cs="Arial" w:eastAsia="Arial" w:hAnsi="Arial"/>
                <w:sz w:val="22"/>
                <w:szCs w:val="22"/>
                <w:color w:val="123054"/>
                <w:w w:val="95"/>
              </w:rPr>
              <w:t>SECURITIES OWNERSHIP OF CERTAIN BENEFICIAL OWNERS, DIRECTORS, AND EXECUTIVE70</w:t>
            </w:r>
          </w:p>
        </w:tc>
      </w:tr>
      <w:tr>
        <w:trPr>
          <w:trHeight w:val="283"/>
        </w:trPr>
        <w:tc>
          <w:tcPr>
            <w:tcW w:w="8160" w:type="dxa"/>
            <w:vAlign w:val="bottom"/>
          </w:tcPr>
          <w:p>
            <w:pPr>
              <w:spacing w:after="0"/>
              <w:rPr>
                <w:sz w:val="20"/>
                <w:szCs w:val="20"/>
                <w:color w:val="auto"/>
              </w:rPr>
            </w:pPr>
            <w:r>
              <w:rPr>
                <w:rFonts w:ascii="Arial" w:cs="Arial" w:eastAsia="Arial" w:hAnsi="Arial"/>
                <w:sz w:val="22"/>
                <w:szCs w:val="22"/>
                <w:color w:val="123054"/>
              </w:rPr>
              <w:t>OFFICERS</w:t>
            </w:r>
          </w:p>
        </w:tc>
        <w:tc>
          <w:tcPr>
            <w:tcW w:w="1480" w:type="dxa"/>
            <w:vAlign w:val="bottom"/>
          </w:tcPr>
          <w:p>
            <w:pPr>
              <w:spacing w:after="0"/>
              <w:rPr>
                <w:sz w:val="24"/>
                <w:szCs w:val="24"/>
                <w:color w:val="auto"/>
              </w:rPr>
            </w:pPr>
          </w:p>
        </w:tc>
      </w:tr>
      <w:tr>
        <w:trPr>
          <w:trHeight w:val="297"/>
        </w:trPr>
        <w:tc>
          <w:tcPr>
            <w:tcW w:w="8160" w:type="dxa"/>
            <w:vAlign w:val="bottom"/>
          </w:tcPr>
          <w:p>
            <w:pPr>
              <w:spacing w:after="0"/>
              <w:rPr>
                <w:sz w:val="20"/>
                <w:szCs w:val="20"/>
                <w:color w:val="auto"/>
              </w:rPr>
            </w:pPr>
            <w:r>
              <w:rPr>
                <w:rFonts w:ascii="Arial" w:cs="Arial" w:eastAsia="Arial" w:hAnsi="Arial"/>
                <w:sz w:val="22"/>
                <w:szCs w:val="22"/>
                <w:color w:val="123054"/>
              </w:rPr>
              <w:t>DELINQUENT SECTION 16 REPORTS</w:t>
            </w:r>
          </w:p>
        </w:tc>
        <w:tc>
          <w:tcPr>
            <w:tcW w:w="1480" w:type="dxa"/>
            <w:vAlign w:val="bottom"/>
          </w:tcPr>
          <w:p>
            <w:pPr>
              <w:ind w:left="520"/>
              <w:spacing w:after="0"/>
              <w:rPr>
                <w:sz w:val="20"/>
                <w:szCs w:val="20"/>
                <w:color w:val="auto"/>
              </w:rPr>
            </w:pPr>
            <w:r>
              <w:rPr>
                <w:rFonts w:ascii="Arial" w:cs="Arial" w:eastAsia="Arial" w:hAnsi="Arial"/>
                <w:sz w:val="22"/>
                <w:szCs w:val="22"/>
                <w:color w:val="123054"/>
              </w:rPr>
              <w:t>72</w:t>
            </w:r>
          </w:p>
        </w:tc>
      </w:tr>
    </w:tbl>
    <w:p>
      <w:pPr>
        <w:spacing w:after="0" w:line="41" w:lineRule="exact"/>
        <w:rPr>
          <w:sz w:val="20"/>
          <w:szCs w:val="20"/>
          <w:color w:val="auto"/>
        </w:rPr>
      </w:pPr>
    </w:p>
    <w:p>
      <w:pPr>
        <w:ind w:left="180"/>
        <w:spacing w:after="0"/>
        <w:rPr>
          <w:sz w:val="20"/>
          <w:szCs w:val="20"/>
          <w:color w:val="auto"/>
        </w:rPr>
      </w:pPr>
      <w:r>
        <w:rPr>
          <w:rFonts w:ascii="Arial" w:cs="Arial" w:eastAsia="Arial" w:hAnsi="Arial"/>
          <w:sz w:val="19"/>
          <w:szCs w:val="19"/>
          <w:color w:val="123054"/>
        </w:rPr>
        <w:t>PROPOSAL NUMBER TWO — ADVISORY VOTE ON APPROVAL OF EXECUTIVE COMPENSATIO73</w:t>
      </w:r>
    </w:p>
    <w:p>
      <w:pPr>
        <w:sectPr>
          <w:pgSz w:w="11900" w:h="16838" w:orient="portrait"/>
          <w:cols w:equalWidth="0" w:num="1">
            <w:col w:w="9820"/>
          </w:cols>
          <w:pgMar w:left="1440" w:top="131" w:right="639" w:bottom="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3"/>
        </w:trPr>
        <w:tc>
          <w:tcPr>
            <w:tcW w:w="980" w:type="dxa"/>
            <w:vAlign w:val="bottom"/>
            <w:tcBorders>
              <w:left w:val="single" w:sz="8" w:color="CCCCCC"/>
            </w:tcBorders>
          </w:tcPr>
          <w:p>
            <w:pPr>
              <w:spacing w:after="0"/>
              <w:rPr>
                <w:sz w:val="21"/>
                <w:szCs w:val="21"/>
                <w:color w:val="auto"/>
              </w:rPr>
            </w:pPr>
          </w:p>
        </w:tc>
        <w:tc>
          <w:tcPr>
            <w:tcW w:w="7780" w:type="dxa"/>
            <w:vAlign w:val="bottom"/>
          </w:tcPr>
          <w:p>
            <w:pPr>
              <w:ind w:left="60"/>
              <w:spacing w:after="0"/>
              <w:rPr>
                <w:sz w:val="20"/>
                <w:szCs w:val="20"/>
                <w:color w:val="auto"/>
              </w:rPr>
            </w:pPr>
            <w:r>
              <w:rPr>
                <w:rFonts w:ascii="Arial" w:cs="Arial" w:eastAsia="Arial" w:hAnsi="Arial"/>
                <w:sz w:val="22"/>
                <w:szCs w:val="22"/>
                <w:color w:val="123054"/>
              </w:rPr>
              <w:t>AUDIT COMMITTEE REPORT</w:t>
            </w:r>
          </w:p>
        </w:tc>
        <w:tc>
          <w:tcPr>
            <w:tcW w:w="1220" w:type="dxa"/>
            <w:vAlign w:val="bottom"/>
          </w:tcPr>
          <w:p>
            <w:pPr>
              <w:jc w:val="right"/>
              <w:spacing w:after="0"/>
              <w:rPr>
                <w:sz w:val="20"/>
                <w:szCs w:val="20"/>
                <w:color w:val="auto"/>
              </w:rPr>
            </w:pPr>
            <w:r>
              <w:rPr>
                <w:rFonts w:ascii="Arial" w:cs="Arial" w:eastAsia="Arial" w:hAnsi="Arial"/>
                <w:sz w:val="22"/>
                <w:szCs w:val="22"/>
                <w:color w:val="123054"/>
              </w:rPr>
              <w:t>74</w:t>
            </w:r>
          </w:p>
        </w:tc>
        <w:tc>
          <w:tcPr>
            <w:tcW w:w="740" w:type="dxa"/>
            <w:vAlign w:val="bottom"/>
            <w:tcBorders>
              <w:right w:val="single" w:sz="8" w:color="CCCCCC"/>
            </w:tcBorders>
          </w:tcPr>
          <w:p>
            <w:pPr>
              <w:spacing w:after="0"/>
              <w:rPr>
                <w:sz w:val="21"/>
                <w:szCs w:val="21"/>
                <w:color w:val="auto"/>
              </w:rPr>
            </w:pPr>
          </w:p>
        </w:tc>
      </w:tr>
      <w:tr>
        <w:trPr>
          <w:trHeight w:val="257"/>
        </w:trPr>
        <w:tc>
          <w:tcPr>
            <w:tcW w:w="980" w:type="dxa"/>
            <w:vAlign w:val="bottom"/>
            <w:tcBorders>
              <w:left w:val="single" w:sz="8" w:color="CCCCCC"/>
            </w:tcBorders>
          </w:tcPr>
          <w:p>
            <w:pPr>
              <w:spacing w:after="0"/>
              <w:rPr>
                <w:sz w:val="22"/>
                <w:szCs w:val="22"/>
                <w:color w:val="auto"/>
              </w:rPr>
            </w:pPr>
          </w:p>
        </w:tc>
        <w:tc>
          <w:tcPr>
            <w:tcW w:w="9740" w:type="dxa"/>
            <w:vAlign w:val="bottom"/>
            <w:tcBorders>
              <w:right w:val="single" w:sz="8" w:color="CCCCCC"/>
            </w:tcBorders>
            <w:gridSpan w:val="3"/>
          </w:tcPr>
          <w:p>
            <w:pPr>
              <w:ind w:left="60"/>
              <w:spacing w:after="0"/>
              <w:rPr>
                <w:sz w:val="20"/>
                <w:szCs w:val="20"/>
                <w:color w:val="auto"/>
              </w:rPr>
            </w:pPr>
            <w:r>
              <w:rPr>
                <w:rFonts w:ascii="Arial" w:cs="Arial" w:eastAsia="Arial" w:hAnsi="Arial"/>
                <w:sz w:val="22"/>
                <w:szCs w:val="22"/>
                <w:color w:val="123054"/>
                <w:strike w:val="1"/>
              </w:rPr>
              <w:t>PROPOSAL NUMBER THREE — RATIFICATION OF INDEPENDENT REGISTERED PUBLI</w:t>
            </w:r>
            <w:r>
              <w:rPr>
                <w:rFonts w:ascii="Arial" w:cs="Arial" w:eastAsia="Arial" w:hAnsi="Arial"/>
                <w:sz w:val="22"/>
                <w:szCs w:val="22"/>
                <w:color w:val="123054"/>
              </w:rPr>
              <w:t>75C</w:t>
            </w:r>
          </w:p>
        </w:tc>
      </w:tr>
      <w:tr>
        <w:trPr>
          <w:trHeight w:val="283"/>
        </w:trPr>
        <w:tc>
          <w:tcPr>
            <w:tcW w:w="980" w:type="dxa"/>
            <w:vAlign w:val="bottom"/>
            <w:tcBorders>
              <w:left w:val="single" w:sz="8" w:color="CCCCCC"/>
            </w:tcBorders>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22"/>
                <w:szCs w:val="22"/>
                <w:color w:val="123054"/>
              </w:rPr>
              <w:t>ACCOUNTING FIRM</w:t>
            </w:r>
          </w:p>
        </w:tc>
        <w:tc>
          <w:tcPr>
            <w:tcW w:w="1220" w:type="dxa"/>
            <w:vAlign w:val="bottom"/>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229"/>
        </w:trPr>
        <w:tc>
          <w:tcPr>
            <w:tcW w:w="980" w:type="dxa"/>
            <w:vAlign w:val="bottom"/>
            <w:tcBorders>
              <w:left w:val="single" w:sz="8" w:color="CCCCCC"/>
            </w:tcBorders>
          </w:tcPr>
          <w:p>
            <w:pPr>
              <w:spacing w:after="0"/>
              <w:rPr>
                <w:sz w:val="19"/>
                <w:szCs w:val="19"/>
                <w:color w:val="auto"/>
              </w:rPr>
            </w:pPr>
          </w:p>
        </w:tc>
        <w:tc>
          <w:tcPr>
            <w:tcW w:w="7780" w:type="dxa"/>
            <w:vAlign w:val="bottom"/>
          </w:tcPr>
          <w:p>
            <w:pPr>
              <w:ind w:left="60"/>
              <w:spacing w:after="0" w:line="229" w:lineRule="exact"/>
              <w:rPr>
                <w:sz w:val="20"/>
                <w:szCs w:val="20"/>
                <w:color w:val="auto"/>
              </w:rPr>
            </w:pPr>
            <w:r>
              <w:rPr>
                <w:rFonts w:ascii="Arial" w:cs="Arial" w:eastAsia="Arial" w:hAnsi="Arial"/>
                <w:sz w:val="22"/>
                <w:szCs w:val="22"/>
                <w:color w:val="123054"/>
              </w:rPr>
              <w:t>OTHER MATTERS</w:t>
            </w: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123054"/>
              </w:rPr>
              <w:t>77</w:t>
            </w:r>
          </w:p>
        </w:tc>
        <w:tc>
          <w:tcPr>
            <w:tcW w:w="740" w:type="dxa"/>
            <w:vAlign w:val="bottom"/>
            <w:tcBorders>
              <w:right w:val="single" w:sz="8" w:color="CCCCCC"/>
            </w:tcBorders>
          </w:tcPr>
          <w:p>
            <w:pPr>
              <w:spacing w:after="0"/>
              <w:rPr>
                <w:sz w:val="19"/>
                <w:szCs w:val="19"/>
                <w:color w:val="auto"/>
              </w:rPr>
            </w:pPr>
          </w:p>
        </w:tc>
      </w:tr>
      <w:tr>
        <w:trPr>
          <w:trHeight w:val="324"/>
        </w:trPr>
        <w:tc>
          <w:tcPr>
            <w:tcW w:w="980" w:type="dxa"/>
            <w:vAlign w:val="bottom"/>
            <w:tcBorders>
              <w:left w:val="single" w:sz="8" w:color="CCCCCC"/>
            </w:tcBorders>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22"/>
                <w:szCs w:val="22"/>
                <w:color w:val="123054"/>
              </w:rPr>
              <w:t>QUESTIONS AND ANSWERS ABOUT THE 2025 ANNUAL MEETING</w:t>
            </w:r>
          </w:p>
        </w:tc>
        <w:tc>
          <w:tcPr>
            <w:tcW w:w="1220" w:type="dxa"/>
            <w:vAlign w:val="bottom"/>
          </w:tcPr>
          <w:p>
            <w:pPr>
              <w:jc w:val="right"/>
              <w:spacing w:after="0"/>
              <w:rPr>
                <w:sz w:val="20"/>
                <w:szCs w:val="20"/>
                <w:color w:val="auto"/>
              </w:rPr>
            </w:pPr>
            <w:r>
              <w:rPr>
                <w:rFonts w:ascii="Arial" w:cs="Arial" w:eastAsia="Arial" w:hAnsi="Arial"/>
                <w:sz w:val="22"/>
                <w:szCs w:val="22"/>
                <w:color w:val="123054"/>
              </w:rPr>
              <w:t>78</w:t>
            </w:r>
          </w:p>
        </w:tc>
        <w:tc>
          <w:tcPr>
            <w:tcW w:w="740" w:type="dxa"/>
            <w:vAlign w:val="bottom"/>
            <w:tcBorders>
              <w:right w:val="single" w:sz="8" w:color="CCCCCC"/>
            </w:tcBorders>
          </w:tcPr>
          <w:p>
            <w:pPr>
              <w:spacing w:after="0"/>
              <w:rPr>
                <w:sz w:val="24"/>
                <w:szCs w:val="24"/>
                <w:color w:val="auto"/>
              </w:rPr>
            </w:pPr>
          </w:p>
        </w:tc>
      </w:tr>
      <w:tr>
        <w:trPr>
          <w:trHeight w:val="324"/>
        </w:trPr>
        <w:tc>
          <w:tcPr>
            <w:tcW w:w="980" w:type="dxa"/>
            <w:vAlign w:val="bottom"/>
            <w:tcBorders>
              <w:left w:val="single" w:sz="8" w:color="CCCCCC"/>
            </w:tcBorders>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22"/>
                <w:szCs w:val="22"/>
                <w:color w:val="123054"/>
              </w:rPr>
              <w:t>APPENDIX</w:t>
            </w:r>
          </w:p>
        </w:tc>
        <w:tc>
          <w:tcPr>
            <w:tcW w:w="1220" w:type="dxa"/>
            <w:vAlign w:val="bottom"/>
          </w:tcPr>
          <w:p>
            <w:pPr>
              <w:jc w:val="right"/>
              <w:spacing w:after="0"/>
              <w:rPr>
                <w:sz w:val="20"/>
                <w:szCs w:val="20"/>
                <w:color w:val="auto"/>
              </w:rPr>
            </w:pPr>
            <w:r>
              <w:rPr>
                <w:rFonts w:ascii="Arial" w:cs="Arial" w:eastAsia="Arial" w:hAnsi="Arial"/>
                <w:sz w:val="22"/>
                <w:szCs w:val="22"/>
                <w:color w:val="123054"/>
              </w:rPr>
              <w:t>85</w:t>
            </w:r>
          </w:p>
        </w:tc>
        <w:tc>
          <w:tcPr>
            <w:tcW w:w="740" w:type="dxa"/>
            <w:vAlign w:val="bottom"/>
            <w:tcBorders>
              <w:right w:val="single" w:sz="8" w:color="CCCCCC"/>
            </w:tcBorders>
          </w:tcPr>
          <w:p>
            <w:pPr>
              <w:spacing w:after="0"/>
              <w:rPr>
                <w:sz w:val="24"/>
                <w:szCs w:val="24"/>
                <w:color w:val="auto"/>
              </w:rPr>
            </w:pPr>
          </w:p>
        </w:tc>
      </w:tr>
      <w:tr>
        <w:trPr>
          <w:trHeight w:val="297"/>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304"/>
        </w:trPr>
        <w:tc>
          <w:tcPr>
            <w:tcW w:w="980" w:type="dxa"/>
            <w:vAlign w:val="bottom"/>
            <w:tcBorders>
              <w:left w:val="single" w:sz="8" w:color="CCCCCC"/>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right w:val="single" w:sz="8" w:color="CCCCCC"/>
            </w:tcBorders>
          </w:tcPr>
          <w:p>
            <w:pPr>
              <w:spacing w:after="0"/>
              <w:rPr>
                <w:sz w:val="24"/>
                <w:szCs w:val="24"/>
                <w:color w:val="auto"/>
              </w:rPr>
            </w:pPr>
          </w:p>
        </w:tc>
      </w:tr>
      <w:tr>
        <w:trPr>
          <w:trHeight w:val="530"/>
        </w:trPr>
        <w:tc>
          <w:tcPr>
            <w:tcW w:w="980" w:type="dxa"/>
            <w:vAlign w:val="bottom"/>
            <w:tcBorders>
              <w:left w:val="single" w:sz="8" w:color="CCCCCC"/>
              <w:bottom w:val="single" w:sz="8" w:color="CCCCCC"/>
            </w:tcBorders>
          </w:tcPr>
          <w:p>
            <w:pPr>
              <w:spacing w:after="0"/>
              <w:rPr>
                <w:sz w:val="24"/>
                <w:szCs w:val="24"/>
                <w:color w:val="auto"/>
              </w:rPr>
            </w:pPr>
          </w:p>
        </w:tc>
        <w:tc>
          <w:tcPr>
            <w:tcW w:w="7780" w:type="dxa"/>
            <w:vAlign w:val="bottom"/>
            <w:tcBorders>
              <w:bottom w:val="single" w:sz="8" w:color="CCCCCC"/>
            </w:tcBorders>
          </w:tcPr>
          <w:p>
            <w:pPr>
              <w:spacing w:after="0"/>
              <w:rPr>
                <w:sz w:val="24"/>
                <w:szCs w:val="24"/>
                <w:color w:val="auto"/>
              </w:rPr>
            </w:pPr>
          </w:p>
        </w:tc>
        <w:tc>
          <w:tcPr>
            <w:tcW w:w="1220" w:type="dxa"/>
            <w:vAlign w:val="bottom"/>
            <w:tcBorders>
              <w:bottom w:val="single" w:sz="8" w:color="CCCCCC"/>
            </w:tcBorders>
          </w:tcPr>
          <w:p>
            <w:pPr>
              <w:spacing w:after="0"/>
              <w:rPr>
                <w:sz w:val="24"/>
                <w:szCs w:val="24"/>
                <w:color w:val="auto"/>
              </w:rPr>
            </w:pPr>
          </w:p>
        </w:tc>
        <w:tc>
          <w:tcPr>
            <w:tcW w:w="74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-2624455</wp:posOffset>
            </wp:positionV>
            <wp:extent cx="5709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-2830195</wp:posOffset>
            </wp:positionV>
            <wp:extent cx="5709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-3035935</wp:posOffset>
            </wp:positionV>
            <wp:extent cx="5709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-3241675</wp:posOffset>
            </wp:positionV>
            <wp:extent cx="5709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92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6779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677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00"/>
        <w:spacing w:after="0"/>
        <w:rPr>
          <w:sz w:val="20"/>
          <w:szCs w:val="20"/>
          <w:color w:val="auto"/>
        </w:rPr>
      </w:pPr>
      <w:r>
        <w:rPr>
          <w:rFonts w:ascii="Arial" w:cs="Arial" w:eastAsia="Arial" w:hAnsi="Arial"/>
          <w:sz w:val="29"/>
          <w:szCs w:val="29"/>
          <w:b w:val="1"/>
          <w:bCs w:val="1"/>
          <w:color w:val="123054"/>
        </w:rPr>
        <w:t>FORWARD-LOOKING STATEMENTS</w:t>
      </w:r>
    </w:p>
    <w:p>
      <w:pPr>
        <w:spacing w:after="0" w:line="181" w:lineRule="exact"/>
        <w:rPr>
          <w:sz w:val="20"/>
          <w:szCs w:val="20"/>
          <w:color w:val="auto"/>
        </w:rPr>
      </w:pPr>
    </w:p>
    <w:p>
      <w:pPr>
        <w:ind w:left="1100" w:right="560"/>
        <w:spacing w:after="0"/>
        <w:rPr>
          <w:sz w:val="20"/>
          <w:szCs w:val="20"/>
          <w:color w:val="auto"/>
        </w:rPr>
      </w:pPr>
      <w:r>
        <w:rPr>
          <w:rFonts w:ascii="Arial" w:cs="Arial" w:eastAsia="Arial" w:hAnsi="Arial"/>
          <w:sz w:val="18"/>
          <w:szCs w:val="18"/>
          <w:color w:val="auto"/>
        </w:rPr>
        <w:t>Statements contained in this proxy statement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proxy statement. These risks and uncertainties include, but are not limited to, those discussed in the subsection entitled “Risk Factors” under Part I, Item 1A, of our most recent Annual Report on 10-K,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consumer tastes and preferences, as well as fashion trends; the failure to protect our intellectual property; the diminished value of our brands, potentially as a result</w:t>
      </w:r>
    </w:p>
    <w:p>
      <w:pPr>
        <w:spacing w:after="0" w:line="5" w:lineRule="exact"/>
        <w:rPr>
          <w:sz w:val="20"/>
          <w:szCs w:val="20"/>
          <w:color w:val="auto"/>
        </w:rPr>
      </w:pPr>
    </w:p>
    <w:p>
      <w:pPr>
        <w:ind w:left="1100" w:right="620"/>
        <w:spacing w:after="0" w:line="238" w:lineRule="auto"/>
        <w:rPr>
          <w:sz w:val="20"/>
          <w:szCs w:val="20"/>
          <w:color w:val="auto"/>
        </w:rPr>
      </w:pPr>
      <w:r>
        <w:rPr>
          <w:rFonts w:ascii="Arial" w:cs="Arial" w:eastAsia="Arial" w:hAnsi="Arial"/>
          <w:sz w:val="18"/>
          <w:szCs w:val="18"/>
          <w:color w:val="auto"/>
        </w:rPr>
        <w:t>of negative publicity or unsuccessful branding and marketing efforts; delays, product recalls, or loss of revenue due to a failure to meet our quality standards; risks related to uncertainty regarding the future of international trade agreements;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proxy statement does not constitute an admission by the Company or any other person that the events or circumstances described in such statement are material.</w:t>
      </w:r>
    </w:p>
    <w:p>
      <w:pPr>
        <w:sectPr>
          <w:pgSz w:w="11900" w:h="16838" w:orient="portrait"/>
          <w:cols w:equalWidth="0" w:num="1">
            <w:col w:w="10720"/>
          </w:cols>
          <w:pgMar w:left="580" w:top="117" w:right="599" w:bottom="778"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076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207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35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8357235"/>
                    </a:xfrm>
                    <a:prstGeom prst="rect">
                      <a:avLst/>
                    </a:prstGeom>
                    <a:noFill/>
                  </pic:spPr>
                </pic:pic>
              </a:graphicData>
            </a:graphic>
          </wp:anchor>
        </w:drawing>
      </w:r>
    </w:p>
    <w:p>
      <w:pPr>
        <w:sectPr>
          <w:pgSz w:w="11900" w:h="16838" w:orient="portrait"/>
          <w:cols w:equalWidth="0" w:num="1">
            <w:col w:w="9120"/>
          </w:cols>
          <w:pgMar w:left="144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right="940"/>
        <w:spacing w:after="0" w:line="263" w:lineRule="auto"/>
        <w:rPr>
          <w:sz w:val="20"/>
          <w:szCs w:val="20"/>
          <w:color w:val="auto"/>
        </w:rPr>
      </w:pPr>
      <w:r>
        <w:rPr>
          <w:rFonts w:ascii="Arial" w:cs="Arial" w:eastAsia="Arial" w:hAnsi="Arial"/>
          <w:sz w:val="29"/>
          <w:szCs w:val="29"/>
          <w:b w:val="1"/>
          <w:bCs w:val="1"/>
          <w:color w:val="123054"/>
        </w:rPr>
        <w:t>BOARD OF DIRECTORS AND CORPORATE GOVERNANCE INFORMATION</w:t>
      </w:r>
    </w:p>
    <w:p>
      <w:pPr>
        <w:spacing w:after="0" w:line="2" w:lineRule="exact"/>
        <w:rPr>
          <w:sz w:val="20"/>
          <w:szCs w:val="20"/>
          <w:color w:val="auto"/>
        </w:rPr>
      </w:pPr>
    </w:p>
    <w:p>
      <w:pPr>
        <w:ind w:left="140"/>
        <w:spacing w:after="0" w:line="251" w:lineRule="auto"/>
        <w:rPr>
          <w:sz w:val="20"/>
          <w:szCs w:val="20"/>
          <w:color w:val="auto"/>
        </w:rPr>
      </w:pPr>
      <w:r>
        <w:rPr>
          <w:rFonts w:ascii="Arial" w:cs="Arial" w:eastAsia="Arial" w:hAnsi="Arial"/>
          <w:sz w:val="20"/>
          <w:szCs w:val="20"/>
          <w:color w:val="auto"/>
        </w:rPr>
        <w:t>Each of our directors stands for election annually and thereafter holds office for a one-year term. At our Annual Meeting, we are asking our shareholders to elect the 11 proposed nominees set forth below, including Douglas C. Palladini, who was appointed as our Chief Executive Officer &amp; President and a member of the Board of Directors effective April 3, 2025. The following table and charts show the committee assignments of each of our independent director nominees, information regarding the composition of Carter's Board of Directors (the “Board”), the definition of skills used for our Board skills matrix, the Board skills matrix, and a chart showing the skills and experience held by the Board.</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408"/>
        </w:trPr>
        <w:tc>
          <w:tcPr>
            <w:tcW w:w="2500" w:type="dxa"/>
            <w:vAlign w:val="bottom"/>
            <w:shd w:val="clear" w:color="auto" w:fill="123054"/>
          </w:tcPr>
          <w:p>
            <w:pPr>
              <w:spacing w:after="0"/>
              <w:rPr>
                <w:sz w:val="24"/>
                <w:szCs w:val="24"/>
                <w:color w:val="auto"/>
              </w:rPr>
            </w:pPr>
          </w:p>
        </w:tc>
        <w:tc>
          <w:tcPr>
            <w:tcW w:w="320" w:type="dxa"/>
            <w:vAlign w:val="bottom"/>
            <w:tcBorders>
              <w:right w:val="single" w:sz="8" w:color="123054"/>
            </w:tcBorders>
            <w:shd w:val="clear" w:color="auto" w:fill="123054"/>
          </w:tcPr>
          <w:p>
            <w:pPr>
              <w:spacing w:after="0"/>
              <w:rPr>
                <w:sz w:val="24"/>
                <w:szCs w:val="24"/>
                <w:color w:val="auto"/>
              </w:rPr>
            </w:pPr>
          </w:p>
        </w:tc>
        <w:tc>
          <w:tcPr>
            <w:tcW w:w="1080" w:type="dxa"/>
            <w:vAlign w:val="bottom"/>
            <w:tcBorders>
              <w:right w:val="single" w:sz="8" w:color="123054"/>
            </w:tcBorders>
            <w:shd w:val="clear" w:color="auto" w:fill="123054"/>
          </w:tcPr>
          <w:p>
            <w:pPr>
              <w:spacing w:after="0"/>
              <w:rPr>
                <w:sz w:val="24"/>
                <w:szCs w:val="24"/>
                <w:color w:val="auto"/>
              </w:rPr>
            </w:pPr>
          </w:p>
        </w:tc>
        <w:tc>
          <w:tcPr>
            <w:tcW w:w="16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20"/>
                <w:szCs w:val="20"/>
                <w:b w:val="1"/>
                <w:bCs w:val="1"/>
                <w:color w:val="FBFBFB"/>
                <w:w w:val="97"/>
              </w:rPr>
              <w:t>Compensation</w:t>
            </w:r>
          </w:p>
        </w:tc>
        <w:tc>
          <w:tcPr>
            <w:tcW w:w="1500" w:type="dxa"/>
            <w:vAlign w:val="bottom"/>
            <w:tcBorders>
              <w:right w:val="single" w:sz="8" w:color="123054"/>
            </w:tcBorders>
            <w:shd w:val="clear" w:color="auto" w:fill="123054"/>
          </w:tcPr>
          <w:p>
            <w:pPr>
              <w:ind w:left="120"/>
              <w:spacing w:after="0"/>
              <w:rPr>
                <w:sz w:val="20"/>
                <w:szCs w:val="20"/>
                <w:color w:val="auto"/>
              </w:rPr>
            </w:pPr>
            <w:r>
              <w:rPr>
                <w:rFonts w:ascii="Arial" w:cs="Arial" w:eastAsia="Arial" w:hAnsi="Arial"/>
                <w:sz w:val="20"/>
                <w:szCs w:val="20"/>
                <w:b w:val="1"/>
                <w:bCs w:val="1"/>
                <w:color w:val="FBFBFB"/>
              </w:rPr>
              <w:t>Nominating &amp;</w:t>
            </w:r>
          </w:p>
        </w:tc>
        <w:tc>
          <w:tcPr>
            <w:tcW w:w="1500" w:type="dxa"/>
            <w:vAlign w:val="bottom"/>
            <w:vMerge w:val="restart"/>
            <w:shd w:val="clear" w:color="auto" w:fill="123054"/>
          </w:tcPr>
          <w:p>
            <w:pPr>
              <w:ind w:left="360"/>
              <w:spacing w:after="0"/>
              <w:rPr>
                <w:sz w:val="20"/>
                <w:szCs w:val="20"/>
                <w:color w:val="auto"/>
              </w:rPr>
            </w:pPr>
            <w:r>
              <w:rPr>
                <w:rFonts w:ascii="Arial" w:cs="Arial" w:eastAsia="Arial" w:hAnsi="Arial"/>
                <w:sz w:val="20"/>
                <w:szCs w:val="20"/>
                <w:b w:val="1"/>
                <w:bCs w:val="1"/>
                <w:color w:val="FBFBFB"/>
              </w:rPr>
              <w:t>Business</w:t>
            </w:r>
          </w:p>
        </w:tc>
        <w:tc>
          <w:tcPr>
            <w:tcW w:w="0" w:type="dxa"/>
            <w:vAlign w:val="bottom"/>
          </w:tcPr>
          <w:p>
            <w:pPr>
              <w:spacing w:after="0"/>
              <w:rPr>
                <w:sz w:val="1"/>
                <w:szCs w:val="1"/>
                <w:color w:val="auto"/>
              </w:rPr>
            </w:pPr>
          </w:p>
        </w:tc>
      </w:tr>
      <w:tr>
        <w:trPr>
          <w:trHeight w:val="121"/>
        </w:trPr>
        <w:tc>
          <w:tcPr>
            <w:tcW w:w="2500" w:type="dxa"/>
            <w:vAlign w:val="bottom"/>
            <w:vMerge w:val="restart"/>
            <w:shd w:val="clear" w:color="auto" w:fill="123054"/>
          </w:tcPr>
          <w:p>
            <w:pPr>
              <w:ind w:left="1040"/>
              <w:spacing w:after="0"/>
              <w:rPr>
                <w:sz w:val="20"/>
                <w:szCs w:val="20"/>
                <w:color w:val="auto"/>
              </w:rPr>
            </w:pPr>
            <w:r>
              <w:rPr>
                <w:rFonts w:ascii="Arial" w:cs="Arial" w:eastAsia="Arial" w:hAnsi="Arial"/>
                <w:sz w:val="20"/>
                <w:szCs w:val="20"/>
                <w:b w:val="1"/>
                <w:bCs w:val="1"/>
                <w:color w:val="FBFBFB"/>
              </w:rPr>
              <w:t>Director</w:t>
            </w:r>
          </w:p>
        </w:tc>
        <w:tc>
          <w:tcPr>
            <w:tcW w:w="320" w:type="dxa"/>
            <w:vAlign w:val="bottom"/>
            <w:tcBorders>
              <w:right w:val="single" w:sz="8" w:color="123054"/>
            </w:tcBorders>
            <w:shd w:val="clear" w:color="auto" w:fill="123054"/>
          </w:tcPr>
          <w:p>
            <w:pPr>
              <w:spacing w:after="0"/>
              <w:rPr>
                <w:sz w:val="10"/>
                <w:szCs w:val="10"/>
                <w:color w:val="auto"/>
              </w:rPr>
            </w:pPr>
          </w:p>
        </w:tc>
        <w:tc>
          <w:tcPr>
            <w:tcW w:w="108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20"/>
                <w:szCs w:val="20"/>
                <w:b w:val="1"/>
                <w:bCs w:val="1"/>
                <w:color w:val="FBFBFB"/>
              </w:rPr>
              <w:t>Audit</w:t>
            </w:r>
          </w:p>
        </w:tc>
        <w:tc>
          <w:tcPr>
            <w:tcW w:w="162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20"/>
                <w:szCs w:val="20"/>
                <w:b w:val="1"/>
                <w:bCs w:val="1"/>
                <w:color w:val="FBFBFB"/>
                <w:w w:val="97"/>
              </w:rPr>
              <w:t>&amp; Human</w:t>
            </w:r>
          </w:p>
        </w:tc>
        <w:tc>
          <w:tcPr>
            <w:tcW w:w="150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20"/>
                <w:szCs w:val="20"/>
                <w:b w:val="1"/>
                <w:bCs w:val="1"/>
                <w:color w:val="FBFBFB"/>
                <w:w w:val="98"/>
              </w:rPr>
              <w:t>Corporate</w:t>
            </w:r>
          </w:p>
        </w:tc>
        <w:tc>
          <w:tcPr>
            <w:tcW w:w="1500" w:type="dxa"/>
            <w:vAlign w:val="bottom"/>
            <w:vMerge w:val="continue"/>
            <w:shd w:val="clear" w:color="auto" w:fill="12305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shd w:val="clear" w:color="auto" w:fill="123054"/>
          </w:tcPr>
          <w:p>
            <w:pPr>
              <w:spacing w:after="0"/>
              <w:rPr>
                <w:sz w:val="10"/>
                <w:szCs w:val="10"/>
                <w:color w:val="auto"/>
              </w:rPr>
            </w:pPr>
          </w:p>
        </w:tc>
        <w:tc>
          <w:tcPr>
            <w:tcW w:w="320" w:type="dxa"/>
            <w:vAlign w:val="bottom"/>
            <w:tcBorders>
              <w:right w:val="single" w:sz="8" w:color="123054"/>
            </w:tcBorders>
            <w:shd w:val="clear" w:color="auto" w:fill="123054"/>
          </w:tcPr>
          <w:p>
            <w:pPr>
              <w:spacing w:after="0"/>
              <w:rPr>
                <w:sz w:val="10"/>
                <w:szCs w:val="10"/>
                <w:color w:val="auto"/>
              </w:rPr>
            </w:pPr>
          </w:p>
        </w:tc>
        <w:tc>
          <w:tcPr>
            <w:tcW w:w="1080" w:type="dxa"/>
            <w:vAlign w:val="bottom"/>
            <w:tcBorders>
              <w:right w:val="single" w:sz="8" w:color="123054"/>
            </w:tcBorders>
            <w:vMerge w:val="continue"/>
            <w:shd w:val="clear" w:color="auto" w:fill="123054"/>
          </w:tcPr>
          <w:p>
            <w:pPr>
              <w:spacing w:after="0"/>
              <w:rPr>
                <w:sz w:val="10"/>
                <w:szCs w:val="10"/>
                <w:color w:val="auto"/>
              </w:rPr>
            </w:pPr>
          </w:p>
        </w:tc>
        <w:tc>
          <w:tcPr>
            <w:tcW w:w="1620" w:type="dxa"/>
            <w:vAlign w:val="bottom"/>
            <w:tcBorders>
              <w:right w:val="single" w:sz="8" w:color="123054"/>
            </w:tcBorders>
            <w:vMerge w:val="continue"/>
            <w:shd w:val="clear" w:color="auto" w:fill="123054"/>
          </w:tcPr>
          <w:p>
            <w:pPr>
              <w:spacing w:after="0"/>
              <w:rPr>
                <w:sz w:val="10"/>
                <w:szCs w:val="10"/>
                <w:color w:val="auto"/>
              </w:rPr>
            </w:pPr>
          </w:p>
        </w:tc>
        <w:tc>
          <w:tcPr>
            <w:tcW w:w="1500" w:type="dxa"/>
            <w:vAlign w:val="bottom"/>
            <w:tcBorders>
              <w:right w:val="single" w:sz="8" w:color="123054"/>
            </w:tcBorders>
            <w:vMerge w:val="continue"/>
            <w:shd w:val="clear" w:color="auto" w:fill="123054"/>
          </w:tcPr>
          <w:p>
            <w:pPr>
              <w:spacing w:after="0"/>
              <w:rPr>
                <w:sz w:val="10"/>
                <w:szCs w:val="10"/>
                <w:color w:val="auto"/>
              </w:rPr>
            </w:pPr>
          </w:p>
        </w:tc>
        <w:tc>
          <w:tcPr>
            <w:tcW w:w="1500" w:type="dxa"/>
            <w:vAlign w:val="bottom"/>
            <w:vMerge w:val="restart"/>
            <w:shd w:val="clear" w:color="auto" w:fill="123054"/>
          </w:tcPr>
          <w:p>
            <w:pPr>
              <w:jc w:val="center"/>
              <w:spacing w:after="0"/>
              <w:rPr>
                <w:sz w:val="20"/>
                <w:szCs w:val="20"/>
                <w:color w:val="auto"/>
              </w:rPr>
            </w:pPr>
            <w:r>
              <w:rPr>
                <w:rFonts w:ascii="Arial" w:cs="Arial" w:eastAsia="Arial" w:hAnsi="Arial"/>
                <w:sz w:val="20"/>
                <w:szCs w:val="20"/>
                <w:b w:val="1"/>
                <w:bCs w:val="1"/>
                <w:color w:val="FBFBFB"/>
                <w:w w:val="98"/>
              </w:rPr>
              <w:t>Transformation</w:t>
            </w:r>
          </w:p>
        </w:tc>
        <w:tc>
          <w:tcPr>
            <w:tcW w:w="0" w:type="dxa"/>
            <w:vAlign w:val="bottom"/>
          </w:tcPr>
          <w:p>
            <w:pPr>
              <w:spacing w:after="0"/>
              <w:rPr>
                <w:sz w:val="1"/>
                <w:szCs w:val="1"/>
                <w:color w:val="auto"/>
              </w:rPr>
            </w:pPr>
          </w:p>
        </w:tc>
      </w:tr>
      <w:tr>
        <w:trPr>
          <w:trHeight w:val="287"/>
        </w:trPr>
        <w:tc>
          <w:tcPr>
            <w:tcW w:w="2500" w:type="dxa"/>
            <w:vAlign w:val="bottom"/>
            <w:shd w:val="clear" w:color="auto" w:fill="123054"/>
          </w:tcPr>
          <w:p>
            <w:pPr>
              <w:spacing w:after="0"/>
              <w:rPr>
                <w:sz w:val="24"/>
                <w:szCs w:val="24"/>
                <w:color w:val="auto"/>
              </w:rPr>
            </w:pPr>
          </w:p>
        </w:tc>
        <w:tc>
          <w:tcPr>
            <w:tcW w:w="320" w:type="dxa"/>
            <w:vAlign w:val="bottom"/>
            <w:tcBorders>
              <w:right w:val="single" w:sz="8" w:color="123054"/>
            </w:tcBorders>
            <w:shd w:val="clear" w:color="auto" w:fill="123054"/>
          </w:tcPr>
          <w:p>
            <w:pPr>
              <w:spacing w:after="0"/>
              <w:rPr>
                <w:sz w:val="24"/>
                <w:szCs w:val="24"/>
                <w:color w:val="auto"/>
              </w:rPr>
            </w:pPr>
          </w:p>
        </w:tc>
        <w:tc>
          <w:tcPr>
            <w:tcW w:w="1080" w:type="dxa"/>
            <w:vAlign w:val="bottom"/>
            <w:tcBorders>
              <w:right w:val="single" w:sz="8" w:color="123054"/>
            </w:tcBorders>
            <w:shd w:val="clear" w:color="auto" w:fill="123054"/>
          </w:tcPr>
          <w:p>
            <w:pPr>
              <w:spacing w:after="0"/>
              <w:rPr>
                <w:sz w:val="24"/>
                <w:szCs w:val="24"/>
                <w:color w:val="auto"/>
              </w:rPr>
            </w:pPr>
          </w:p>
        </w:tc>
        <w:tc>
          <w:tcPr>
            <w:tcW w:w="16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20"/>
                <w:szCs w:val="20"/>
                <w:b w:val="1"/>
                <w:bCs w:val="1"/>
                <w:color w:val="FBFBFB"/>
                <w:w w:val="98"/>
              </w:rPr>
              <w:t>Capital</w:t>
            </w:r>
          </w:p>
        </w:tc>
        <w:tc>
          <w:tcPr>
            <w:tcW w:w="15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20"/>
                <w:szCs w:val="20"/>
                <w:b w:val="1"/>
                <w:bCs w:val="1"/>
                <w:color w:val="FBFBFB"/>
                <w:w w:val="98"/>
              </w:rPr>
              <w:t>Governance</w:t>
            </w:r>
          </w:p>
        </w:tc>
        <w:tc>
          <w:tcPr>
            <w:tcW w:w="1500" w:type="dxa"/>
            <w:vAlign w:val="bottom"/>
            <w:vMerge w:val="continue"/>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500" w:type="dxa"/>
            <w:vAlign w:val="bottom"/>
            <w:shd w:val="clear" w:color="auto" w:fill="123054"/>
          </w:tcPr>
          <w:p>
            <w:pPr>
              <w:spacing w:after="0"/>
              <w:rPr>
                <w:sz w:val="11"/>
                <w:szCs w:val="11"/>
                <w:color w:val="auto"/>
              </w:rPr>
            </w:pPr>
          </w:p>
        </w:tc>
        <w:tc>
          <w:tcPr>
            <w:tcW w:w="320" w:type="dxa"/>
            <w:vAlign w:val="bottom"/>
            <w:tcBorders>
              <w:right w:val="single" w:sz="8" w:color="123054"/>
            </w:tcBorders>
            <w:shd w:val="clear" w:color="auto" w:fill="123054"/>
          </w:tcPr>
          <w:p>
            <w:pPr>
              <w:spacing w:after="0"/>
              <w:rPr>
                <w:sz w:val="11"/>
                <w:szCs w:val="11"/>
                <w:color w:val="auto"/>
              </w:rPr>
            </w:pPr>
          </w:p>
        </w:tc>
        <w:tc>
          <w:tcPr>
            <w:tcW w:w="1080" w:type="dxa"/>
            <w:vAlign w:val="bottom"/>
            <w:tcBorders>
              <w:right w:val="single" w:sz="8" w:color="123054"/>
            </w:tcBorders>
            <w:shd w:val="clear" w:color="auto" w:fill="123054"/>
          </w:tcPr>
          <w:p>
            <w:pPr>
              <w:spacing w:after="0"/>
              <w:rPr>
                <w:sz w:val="11"/>
                <w:szCs w:val="11"/>
                <w:color w:val="auto"/>
              </w:rPr>
            </w:pPr>
          </w:p>
        </w:tc>
        <w:tc>
          <w:tcPr>
            <w:tcW w:w="1620" w:type="dxa"/>
            <w:vAlign w:val="bottom"/>
            <w:tcBorders>
              <w:right w:val="single" w:sz="8" w:color="123054"/>
            </w:tcBorders>
            <w:shd w:val="clear" w:color="auto" w:fill="123054"/>
          </w:tcPr>
          <w:p>
            <w:pPr>
              <w:spacing w:after="0"/>
              <w:rPr>
                <w:sz w:val="11"/>
                <w:szCs w:val="11"/>
                <w:color w:val="auto"/>
              </w:rPr>
            </w:pPr>
          </w:p>
        </w:tc>
        <w:tc>
          <w:tcPr>
            <w:tcW w:w="1500" w:type="dxa"/>
            <w:vAlign w:val="bottom"/>
            <w:tcBorders>
              <w:right w:val="single" w:sz="8" w:color="123054"/>
            </w:tcBorders>
            <w:shd w:val="clear" w:color="auto" w:fill="123054"/>
          </w:tcPr>
          <w:p>
            <w:pPr>
              <w:spacing w:after="0"/>
              <w:rPr>
                <w:sz w:val="11"/>
                <w:szCs w:val="11"/>
                <w:color w:val="auto"/>
              </w:rPr>
            </w:pPr>
          </w:p>
        </w:tc>
        <w:tc>
          <w:tcPr>
            <w:tcW w:w="1500" w:type="dxa"/>
            <w:vAlign w:val="bottom"/>
            <w:shd w:val="clear" w:color="auto" w:fill="123054"/>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260"/>
              <w:spacing w:after="0"/>
              <w:rPr>
                <w:sz w:val="20"/>
                <w:szCs w:val="20"/>
                <w:color w:val="auto"/>
              </w:rPr>
            </w:pPr>
            <w:r>
              <w:rPr>
                <w:rFonts w:ascii="Arial" w:cs="Arial" w:eastAsia="Arial" w:hAnsi="Arial"/>
                <w:sz w:val="20"/>
                <w:szCs w:val="20"/>
                <w:color w:val="auto"/>
              </w:rPr>
              <w:t>Rochester Anderson, Jr.</w:t>
            </w:r>
          </w:p>
        </w:tc>
        <w:tc>
          <w:tcPr>
            <w:tcW w:w="320" w:type="dxa"/>
            <w:vAlign w:val="bottom"/>
            <w:tcBorders>
              <w:right w:val="single" w:sz="8" w:color="123054"/>
            </w:tcBorders>
          </w:tcPr>
          <w:p>
            <w:pPr>
              <w:spacing w:after="0"/>
              <w:rPr>
                <w:sz w:val="24"/>
                <w:szCs w:val="24"/>
                <w:color w:val="auto"/>
              </w:rPr>
            </w:pPr>
          </w:p>
        </w:tc>
        <w:tc>
          <w:tcPr>
            <w:tcW w:w="1080" w:type="dxa"/>
            <w:vAlign w:val="bottom"/>
            <w:tcBorders>
              <w:right w:val="single" w:sz="8" w:color="123054"/>
            </w:tcBorders>
          </w:tcPr>
          <w:p>
            <w:pPr>
              <w:spacing w:after="0"/>
              <w:rPr>
                <w:sz w:val="24"/>
                <w:szCs w:val="24"/>
                <w:color w:val="auto"/>
              </w:rPr>
            </w:pPr>
          </w:p>
        </w:tc>
        <w:tc>
          <w:tcPr>
            <w:tcW w:w="1620" w:type="dxa"/>
            <w:vAlign w:val="bottom"/>
            <w:tcBorders>
              <w:right w:val="single" w:sz="8" w:color="123054"/>
            </w:tcBorders>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tcBorders>
              <w:right w:val="single" w:sz="8" w:color="123054"/>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Jeffrey H. Black</w:t>
            </w:r>
          </w:p>
        </w:tc>
        <w:tc>
          <w:tcPr>
            <w:tcW w:w="320" w:type="dxa"/>
            <w:vAlign w:val="bottom"/>
            <w:tcBorders>
              <w:right w:val="single" w:sz="8" w:color="123054"/>
            </w:tcBorders>
            <w:shd w:val="clear" w:color="auto" w:fill="E4E4E4"/>
          </w:tcPr>
          <w:p>
            <w:pPr>
              <w:spacing w:after="0"/>
              <w:rPr>
                <w:sz w:val="24"/>
                <w:szCs w:val="24"/>
                <w:color w:val="auto"/>
              </w:rPr>
            </w:pPr>
          </w:p>
        </w:tc>
        <w:tc>
          <w:tcPr>
            <w:tcW w:w="10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20"/>
                <w:szCs w:val="20"/>
                <w:color w:val="123054"/>
                <w:w w:val="85"/>
              </w:rPr>
              <w:t>•</w:t>
            </w:r>
          </w:p>
        </w:tc>
        <w:tc>
          <w:tcPr>
            <w:tcW w:w="1620" w:type="dxa"/>
            <w:vAlign w:val="bottom"/>
            <w:tcBorders>
              <w:right w:val="single" w:sz="8" w:color="123054"/>
            </w:tcBorders>
            <w:shd w:val="clear" w:color="auto" w:fill="E4E4E4"/>
          </w:tcPr>
          <w:p>
            <w:pPr>
              <w:spacing w:after="0"/>
              <w:rPr>
                <w:sz w:val="24"/>
                <w:szCs w:val="24"/>
                <w:color w:val="auto"/>
              </w:rPr>
            </w:pPr>
          </w:p>
        </w:tc>
        <w:tc>
          <w:tcPr>
            <w:tcW w:w="1500" w:type="dxa"/>
            <w:vAlign w:val="bottom"/>
            <w:tcBorders>
              <w:right w:val="single" w:sz="8" w:color="123054"/>
            </w:tcBorders>
            <w:shd w:val="clear" w:color="auto" w:fill="E4E4E4"/>
          </w:tcPr>
          <w:p>
            <w:pPr>
              <w:spacing w:after="0"/>
              <w:rPr>
                <w:sz w:val="24"/>
                <w:szCs w:val="24"/>
                <w:color w:val="auto"/>
              </w:rPr>
            </w:pPr>
          </w:p>
        </w:tc>
        <w:tc>
          <w:tcPr>
            <w:tcW w:w="15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260"/>
              <w:spacing w:after="0"/>
              <w:rPr>
                <w:sz w:val="20"/>
                <w:szCs w:val="20"/>
                <w:color w:val="auto"/>
              </w:rPr>
            </w:pPr>
            <w:r>
              <w:rPr>
                <w:rFonts w:ascii="Arial" w:cs="Arial" w:eastAsia="Arial" w:hAnsi="Arial"/>
                <w:sz w:val="20"/>
                <w:szCs w:val="20"/>
                <w:color w:val="auto"/>
              </w:rPr>
              <w:t>Hali Borenstein</w:t>
            </w:r>
          </w:p>
        </w:tc>
        <w:tc>
          <w:tcPr>
            <w:tcW w:w="320" w:type="dxa"/>
            <w:vAlign w:val="bottom"/>
            <w:tcBorders>
              <w:right w:val="single" w:sz="8" w:color="123054"/>
            </w:tcBorders>
          </w:tcPr>
          <w:p>
            <w:pPr>
              <w:spacing w:after="0"/>
              <w:rPr>
                <w:sz w:val="24"/>
                <w:szCs w:val="24"/>
                <w:color w:val="auto"/>
              </w:rPr>
            </w:pPr>
          </w:p>
        </w:tc>
        <w:tc>
          <w:tcPr>
            <w:tcW w:w="1080" w:type="dxa"/>
            <w:vAlign w:val="bottom"/>
            <w:tcBorders>
              <w:right w:val="single" w:sz="8" w:color="123054"/>
            </w:tcBorders>
          </w:tcPr>
          <w:p>
            <w:pPr>
              <w:spacing w:after="0"/>
              <w:rPr>
                <w:sz w:val="24"/>
                <w:szCs w:val="24"/>
                <w:color w:val="auto"/>
              </w:rPr>
            </w:pPr>
          </w:p>
        </w:tc>
        <w:tc>
          <w:tcPr>
            <w:tcW w:w="1620" w:type="dxa"/>
            <w:vAlign w:val="bottom"/>
            <w:tcBorders>
              <w:right w:val="single" w:sz="8" w:color="123054"/>
            </w:tcBorders>
          </w:tcPr>
          <w:p>
            <w:pPr>
              <w:spacing w:after="0"/>
              <w:rPr>
                <w:sz w:val="24"/>
                <w:szCs w:val="24"/>
                <w:color w:val="auto"/>
              </w:rPr>
            </w:pPr>
          </w:p>
        </w:tc>
        <w:tc>
          <w:tcPr>
            <w:tcW w:w="1500" w:type="dxa"/>
            <w:vAlign w:val="bottom"/>
            <w:tcBorders>
              <w:right w:val="single" w:sz="8" w:color="123054"/>
            </w:tcBorders>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tcPr>
          <w:p>
            <w:pPr>
              <w:jc w:val="center"/>
              <w:spacing w:after="0"/>
              <w:rPr>
                <w:sz w:val="20"/>
                <w:szCs w:val="20"/>
                <w:color w:val="auto"/>
              </w:rPr>
            </w:pPr>
            <w:r>
              <w:rPr>
                <w:rFonts w:ascii="Arial" w:cs="Arial" w:eastAsia="Arial" w:hAnsi="Arial"/>
                <w:sz w:val="20"/>
                <w:szCs w:val="20"/>
                <w:color w:val="123054"/>
              </w:rPr>
              <w:t>•</w:t>
            </w:r>
          </w:p>
        </w:tc>
        <w:tc>
          <w:tcPr>
            <w:tcW w:w="0" w:type="dxa"/>
            <w:vAlign w:val="bottom"/>
          </w:tcPr>
          <w:p>
            <w:pPr>
              <w:spacing w:after="0"/>
              <w:rPr>
                <w:sz w:val="1"/>
                <w:szCs w:val="1"/>
                <w:color w:val="auto"/>
              </w:rPr>
            </w:pPr>
          </w:p>
        </w:tc>
      </w:tr>
      <w:tr>
        <w:trPr>
          <w:trHeight w:val="285"/>
        </w:trPr>
        <w:tc>
          <w:tcPr>
            <w:tcW w:w="25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Luis Borgen</w:t>
            </w:r>
          </w:p>
        </w:tc>
        <w:tc>
          <w:tcPr>
            <w:tcW w:w="320" w:type="dxa"/>
            <w:vAlign w:val="bottom"/>
            <w:tcBorders>
              <w:right w:val="single" w:sz="8" w:color="123054"/>
            </w:tcBorders>
            <w:shd w:val="clear" w:color="auto" w:fill="E4E4E4"/>
          </w:tcPr>
          <w:p>
            <w:pPr>
              <w:spacing w:after="0"/>
              <w:rPr>
                <w:sz w:val="24"/>
                <w:szCs w:val="24"/>
                <w:color w:val="auto"/>
              </w:rPr>
            </w:pPr>
          </w:p>
        </w:tc>
        <w:tc>
          <w:tcPr>
            <w:tcW w:w="10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20"/>
                <w:szCs w:val="20"/>
                <w:color w:val="123054"/>
                <w:w w:val="85"/>
              </w:rPr>
              <w:t>•</w:t>
            </w:r>
          </w:p>
        </w:tc>
        <w:tc>
          <w:tcPr>
            <w:tcW w:w="162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tcBorders>
              <w:right w:val="single" w:sz="8" w:color="123054"/>
            </w:tcBorders>
            <w:shd w:val="clear" w:color="auto" w:fill="E4E4E4"/>
          </w:tcPr>
          <w:p>
            <w:pPr>
              <w:spacing w:after="0"/>
              <w:rPr>
                <w:sz w:val="24"/>
                <w:szCs w:val="24"/>
                <w:color w:val="auto"/>
              </w:rPr>
            </w:pPr>
          </w:p>
        </w:tc>
        <w:tc>
          <w:tcPr>
            <w:tcW w:w="15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00" w:type="dxa"/>
            <w:vAlign w:val="bottom"/>
          </w:tcPr>
          <w:p>
            <w:pPr>
              <w:ind w:left="260"/>
              <w:spacing w:after="0"/>
              <w:rPr>
                <w:sz w:val="20"/>
                <w:szCs w:val="20"/>
                <w:color w:val="auto"/>
              </w:rPr>
            </w:pPr>
            <w:r>
              <w:rPr>
                <w:rFonts w:ascii="Arial" w:cs="Arial" w:eastAsia="Arial" w:hAnsi="Arial"/>
                <w:sz w:val="20"/>
                <w:szCs w:val="20"/>
                <w:color w:val="auto"/>
              </w:rPr>
              <w:t>Jevin S. Eagle</w:t>
            </w:r>
          </w:p>
        </w:tc>
        <w:tc>
          <w:tcPr>
            <w:tcW w:w="320" w:type="dxa"/>
            <w:vAlign w:val="bottom"/>
            <w:tcBorders>
              <w:right w:val="single" w:sz="8" w:color="123054"/>
            </w:tcBorders>
          </w:tcPr>
          <w:p>
            <w:pPr>
              <w:spacing w:after="0"/>
              <w:rPr>
                <w:sz w:val="24"/>
                <w:szCs w:val="24"/>
                <w:color w:val="auto"/>
              </w:rPr>
            </w:pPr>
          </w:p>
        </w:tc>
        <w:tc>
          <w:tcPr>
            <w:tcW w:w="1080" w:type="dxa"/>
            <w:vAlign w:val="bottom"/>
            <w:tcBorders>
              <w:right w:val="single" w:sz="8" w:color="123054"/>
            </w:tcBorders>
          </w:tcPr>
          <w:p>
            <w:pPr>
              <w:spacing w:after="0"/>
              <w:rPr>
                <w:sz w:val="24"/>
                <w:szCs w:val="24"/>
                <w:color w:val="auto"/>
              </w:rPr>
            </w:pPr>
          </w:p>
        </w:tc>
        <w:tc>
          <w:tcPr>
            <w:tcW w:w="1620" w:type="dxa"/>
            <w:vAlign w:val="bottom"/>
            <w:tcBorders>
              <w:right w:val="single" w:sz="8" w:color="123054"/>
            </w:tcBorders>
          </w:tcPr>
          <w:p>
            <w:pPr>
              <w:jc w:val="center"/>
              <w:spacing w:after="0" w:line="201" w:lineRule="exact"/>
              <w:rPr>
                <w:sz w:val="20"/>
                <w:szCs w:val="20"/>
                <w:color w:val="auto"/>
              </w:rPr>
            </w:pPr>
            <w:r>
              <w:rPr>
                <w:rFonts w:ascii="MS PGothic" w:cs="MS PGothic" w:eastAsia="MS PGothic" w:hAnsi="MS PGothic"/>
                <w:sz w:val="20"/>
                <w:szCs w:val="20"/>
                <w:color w:val="123054"/>
              </w:rPr>
              <w:t>ℂ</w:t>
            </w:r>
          </w:p>
        </w:tc>
        <w:tc>
          <w:tcPr>
            <w:tcW w:w="1500" w:type="dxa"/>
            <w:vAlign w:val="bottom"/>
            <w:tcBorders>
              <w:right w:val="single" w:sz="8" w:color="123054"/>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Mark P. Hipp</w:t>
            </w:r>
          </w:p>
        </w:tc>
        <w:tc>
          <w:tcPr>
            <w:tcW w:w="320" w:type="dxa"/>
            <w:vAlign w:val="bottom"/>
            <w:tcBorders>
              <w:right w:val="single" w:sz="8" w:color="123054"/>
            </w:tcBorders>
            <w:shd w:val="clear" w:color="auto" w:fill="E4E4E4"/>
          </w:tcPr>
          <w:p>
            <w:pPr>
              <w:spacing w:after="0"/>
              <w:rPr>
                <w:sz w:val="24"/>
                <w:szCs w:val="24"/>
                <w:color w:val="auto"/>
              </w:rPr>
            </w:pPr>
          </w:p>
        </w:tc>
        <w:tc>
          <w:tcPr>
            <w:tcW w:w="10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20"/>
                <w:szCs w:val="20"/>
                <w:color w:val="123054"/>
                <w:w w:val="85"/>
              </w:rPr>
              <w:t>•</w:t>
            </w:r>
          </w:p>
        </w:tc>
        <w:tc>
          <w:tcPr>
            <w:tcW w:w="162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tcBorders>
              <w:right w:val="single" w:sz="8" w:color="123054"/>
            </w:tcBorders>
            <w:shd w:val="clear" w:color="auto" w:fill="E4E4E4"/>
          </w:tcPr>
          <w:p>
            <w:pPr>
              <w:spacing w:after="0"/>
              <w:rPr>
                <w:sz w:val="24"/>
                <w:szCs w:val="24"/>
                <w:color w:val="auto"/>
              </w:rPr>
            </w:pPr>
          </w:p>
        </w:tc>
        <w:tc>
          <w:tcPr>
            <w:tcW w:w="15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00" w:type="dxa"/>
            <w:vAlign w:val="bottom"/>
          </w:tcPr>
          <w:p>
            <w:pPr>
              <w:ind w:left="260"/>
              <w:spacing w:after="0"/>
              <w:rPr>
                <w:sz w:val="20"/>
                <w:szCs w:val="20"/>
                <w:color w:val="auto"/>
              </w:rPr>
            </w:pPr>
            <w:r>
              <w:rPr>
                <w:rFonts w:ascii="Arial" w:cs="Arial" w:eastAsia="Arial" w:hAnsi="Arial"/>
                <w:sz w:val="20"/>
                <w:szCs w:val="20"/>
                <w:color w:val="auto"/>
              </w:rPr>
              <w:t>William J. Montgoris</w:t>
            </w:r>
          </w:p>
        </w:tc>
        <w:tc>
          <w:tcPr>
            <w:tcW w:w="320" w:type="dxa"/>
            <w:vAlign w:val="bottom"/>
            <w:tcBorders>
              <w:right w:val="single" w:sz="8" w:color="123054"/>
            </w:tcBorders>
          </w:tcPr>
          <w:p>
            <w:pPr>
              <w:spacing w:after="0"/>
              <w:rPr>
                <w:sz w:val="24"/>
                <w:szCs w:val="24"/>
                <w:color w:val="auto"/>
              </w:rPr>
            </w:pPr>
          </w:p>
        </w:tc>
        <w:tc>
          <w:tcPr>
            <w:tcW w:w="1080" w:type="dxa"/>
            <w:vAlign w:val="bottom"/>
            <w:tcBorders>
              <w:right w:val="single" w:sz="8" w:color="123054"/>
            </w:tcBorders>
          </w:tcPr>
          <w:p>
            <w:pPr>
              <w:spacing w:after="0"/>
              <w:rPr>
                <w:sz w:val="24"/>
                <w:szCs w:val="24"/>
                <w:color w:val="auto"/>
              </w:rPr>
            </w:pPr>
          </w:p>
        </w:tc>
        <w:tc>
          <w:tcPr>
            <w:tcW w:w="1620" w:type="dxa"/>
            <w:vAlign w:val="bottom"/>
            <w:tcBorders>
              <w:right w:val="single" w:sz="8" w:color="123054"/>
            </w:tcBorders>
          </w:tcPr>
          <w:p>
            <w:pPr>
              <w:spacing w:after="0"/>
              <w:rPr>
                <w:sz w:val="24"/>
                <w:szCs w:val="24"/>
                <w:color w:val="auto"/>
              </w:rPr>
            </w:pPr>
          </w:p>
        </w:tc>
        <w:tc>
          <w:tcPr>
            <w:tcW w:w="1500" w:type="dxa"/>
            <w:vAlign w:val="bottom"/>
            <w:tcBorders>
              <w:right w:val="single" w:sz="8" w:color="123054"/>
            </w:tcBorders>
          </w:tcPr>
          <w:p>
            <w:pPr>
              <w:jc w:val="center"/>
              <w:spacing w:after="0" w:line="201" w:lineRule="exact"/>
              <w:rPr>
                <w:sz w:val="20"/>
                <w:szCs w:val="20"/>
                <w:color w:val="auto"/>
              </w:rPr>
            </w:pPr>
            <w:r>
              <w:rPr>
                <w:rFonts w:ascii="MS PGothic" w:cs="MS PGothic" w:eastAsia="MS PGothic" w:hAnsi="MS PGothic"/>
                <w:sz w:val="20"/>
                <w:szCs w:val="20"/>
                <w:color w:val="123054"/>
              </w:rPr>
              <w:t>ℂ</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00" w:type="dxa"/>
            <w:vAlign w:val="bottom"/>
            <w:shd w:val="clear" w:color="auto" w:fill="DBDBDB"/>
          </w:tcPr>
          <w:p>
            <w:pPr>
              <w:ind w:left="260"/>
              <w:spacing w:after="0"/>
              <w:rPr>
                <w:sz w:val="20"/>
                <w:szCs w:val="20"/>
                <w:color w:val="auto"/>
              </w:rPr>
            </w:pPr>
            <w:r>
              <w:rPr>
                <w:rFonts w:ascii="Arial" w:cs="Arial" w:eastAsia="Arial" w:hAnsi="Arial"/>
                <w:sz w:val="20"/>
                <w:szCs w:val="20"/>
                <w:color w:val="auto"/>
              </w:rPr>
              <w:t>Stacey S. Rauch</w:t>
            </w:r>
          </w:p>
        </w:tc>
        <w:tc>
          <w:tcPr>
            <w:tcW w:w="320" w:type="dxa"/>
            <w:vAlign w:val="bottom"/>
            <w:tcBorders>
              <w:right w:val="single" w:sz="8" w:color="123054"/>
            </w:tcBorders>
            <w:shd w:val="clear" w:color="auto" w:fill="DBDBDB"/>
          </w:tcPr>
          <w:p>
            <w:pPr>
              <w:spacing w:after="0"/>
              <w:rPr>
                <w:sz w:val="24"/>
                <w:szCs w:val="24"/>
                <w:color w:val="auto"/>
              </w:rPr>
            </w:pP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20"/>
                <w:szCs w:val="20"/>
                <w:color w:val="123054"/>
                <w:w w:val="85"/>
              </w:rPr>
              <w:t>•</w:t>
            </w:r>
          </w:p>
        </w:tc>
        <w:tc>
          <w:tcPr>
            <w:tcW w:w="1620" w:type="dxa"/>
            <w:vAlign w:val="bottom"/>
            <w:tcBorders>
              <w:right w:val="single" w:sz="8" w:color="123054"/>
            </w:tcBorders>
            <w:shd w:val="clear" w:color="auto" w:fill="DBDBDB"/>
          </w:tcPr>
          <w:p>
            <w:pPr>
              <w:spacing w:after="0"/>
              <w:rPr>
                <w:sz w:val="24"/>
                <w:szCs w:val="24"/>
                <w:color w:val="auto"/>
              </w:rPr>
            </w:pPr>
          </w:p>
        </w:tc>
        <w:tc>
          <w:tcPr>
            <w:tcW w:w="15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20"/>
                <w:szCs w:val="20"/>
                <w:color w:val="123054"/>
              </w:rPr>
              <w:t>•</w:t>
            </w:r>
          </w:p>
        </w:tc>
        <w:tc>
          <w:tcPr>
            <w:tcW w:w="0" w:type="dxa"/>
            <w:vAlign w:val="bottom"/>
          </w:tcPr>
          <w:p>
            <w:pPr>
              <w:spacing w:after="0"/>
              <w:rPr>
                <w:sz w:val="1"/>
                <w:szCs w:val="1"/>
                <w:color w:val="auto"/>
              </w:rPr>
            </w:pPr>
          </w:p>
        </w:tc>
      </w:tr>
      <w:tr>
        <w:trPr>
          <w:trHeight w:val="284"/>
        </w:trPr>
        <w:tc>
          <w:tcPr>
            <w:tcW w:w="2500" w:type="dxa"/>
            <w:vAlign w:val="bottom"/>
          </w:tcPr>
          <w:p>
            <w:pPr>
              <w:ind w:left="260"/>
              <w:spacing w:after="0"/>
              <w:rPr>
                <w:sz w:val="20"/>
                <w:szCs w:val="20"/>
                <w:color w:val="auto"/>
              </w:rPr>
            </w:pPr>
            <w:r>
              <w:rPr>
                <w:rFonts w:ascii="Arial" w:cs="Arial" w:eastAsia="Arial" w:hAnsi="Arial"/>
                <w:sz w:val="20"/>
                <w:szCs w:val="20"/>
                <w:color w:val="auto"/>
              </w:rPr>
              <w:t>Gretchen W. Schar</w:t>
            </w:r>
          </w:p>
        </w:tc>
        <w:tc>
          <w:tcPr>
            <w:tcW w:w="320" w:type="dxa"/>
            <w:vAlign w:val="bottom"/>
            <w:tcBorders>
              <w:right w:val="single" w:sz="8" w:color="123054"/>
            </w:tcBorders>
          </w:tcPr>
          <w:p>
            <w:pPr>
              <w:spacing w:after="0"/>
              <w:rPr>
                <w:sz w:val="24"/>
                <w:szCs w:val="24"/>
                <w:color w:val="auto"/>
              </w:rPr>
            </w:pPr>
          </w:p>
        </w:tc>
        <w:tc>
          <w:tcPr>
            <w:tcW w:w="1080" w:type="dxa"/>
            <w:vAlign w:val="bottom"/>
            <w:tcBorders>
              <w:right w:val="single" w:sz="8" w:color="123054"/>
            </w:tcBorders>
          </w:tcPr>
          <w:p>
            <w:pPr>
              <w:jc w:val="center"/>
              <w:spacing w:after="0" w:line="201" w:lineRule="exact"/>
              <w:rPr>
                <w:sz w:val="20"/>
                <w:szCs w:val="20"/>
                <w:color w:val="auto"/>
              </w:rPr>
            </w:pPr>
            <w:r>
              <w:rPr>
                <w:rFonts w:ascii="MS PGothic" w:cs="MS PGothic" w:eastAsia="MS PGothic" w:hAnsi="MS PGothic"/>
                <w:sz w:val="20"/>
                <w:szCs w:val="20"/>
                <w:color w:val="123054"/>
              </w:rPr>
              <w:t>ℂ</w:t>
            </w:r>
          </w:p>
        </w:tc>
        <w:tc>
          <w:tcPr>
            <w:tcW w:w="1620" w:type="dxa"/>
            <w:vAlign w:val="bottom"/>
            <w:tcBorders>
              <w:right w:val="single" w:sz="8" w:color="123054"/>
            </w:tcBorders>
          </w:tcPr>
          <w:p>
            <w:pPr>
              <w:spacing w:after="0"/>
              <w:rPr>
                <w:sz w:val="24"/>
                <w:szCs w:val="24"/>
                <w:color w:val="auto"/>
              </w:rPr>
            </w:pPr>
          </w:p>
        </w:tc>
        <w:tc>
          <w:tcPr>
            <w:tcW w:w="1500" w:type="dxa"/>
            <w:vAlign w:val="bottom"/>
            <w:tcBorders>
              <w:right w:val="single" w:sz="8" w:color="123054"/>
            </w:tcBorders>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0"/>
                <w:szCs w:val="20"/>
                <w:color w:val="123054"/>
              </w:rPr>
              <w:t>•</w:t>
            </w:r>
          </w:p>
        </w:tc>
        <w:tc>
          <w:tcPr>
            <w:tcW w:w="0" w:type="dxa"/>
            <w:vAlign w:val="bottom"/>
          </w:tcPr>
          <w:p>
            <w:pPr>
              <w:spacing w:after="0"/>
              <w:rPr>
                <w:sz w:val="1"/>
                <w:szCs w:val="1"/>
                <w:color w:val="auto"/>
              </w:rPr>
            </w:pPr>
          </w:p>
        </w:tc>
      </w:tr>
      <w:tr>
        <w:trPr>
          <w:trHeight w:val="283"/>
        </w:trPr>
        <w:tc>
          <w:tcPr>
            <w:tcW w:w="2500" w:type="dxa"/>
            <w:vAlign w:val="bottom"/>
            <w:shd w:val="clear" w:color="auto" w:fill="DBDBDB"/>
          </w:tcPr>
          <w:p>
            <w:pPr>
              <w:ind w:left="260"/>
              <w:spacing w:after="0"/>
              <w:rPr>
                <w:sz w:val="20"/>
                <w:szCs w:val="20"/>
                <w:color w:val="auto"/>
              </w:rPr>
            </w:pPr>
            <w:r>
              <w:rPr>
                <w:rFonts w:ascii="Arial" w:cs="Arial" w:eastAsia="Arial" w:hAnsi="Arial"/>
                <w:sz w:val="20"/>
                <w:szCs w:val="20"/>
                <w:color w:val="auto"/>
              </w:rPr>
              <w:t>Stephanie P. Stahl</w:t>
            </w:r>
          </w:p>
        </w:tc>
        <w:tc>
          <w:tcPr>
            <w:tcW w:w="320" w:type="dxa"/>
            <w:vAlign w:val="bottom"/>
            <w:tcBorders>
              <w:right w:val="single" w:sz="8" w:color="123054"/>
            </w:tcBorders>
            <w:shd w:val="clear" w:color="auto" w:fill="DBDBDB"/>
          </w:tcPr>
          <w:p>
            <w:pPr>
              <w:spacing w:after="0"/>
              <w:rPr>
                <w:sz w:val="24"/>
                <w:szCs w:val="24"/>
                <w:color w:val="auto"/>
              </w:rPr>
            </w:pPr>
          </w:p>
        </w:tc>
        <w:tc>
          <w:tcPr>
            <w:tcW w:w="1080" w:type="dxa"/>
            <w:vAlign w:val="bottom"/>
            <w:tcBorders>
              <w:right w:val="single" w:sz="8" w:color="123054"/>
            </w:tcBorders>
            <w:shd w:val="clear" w:color="auto" w:fill="DBDBDB"/>
          </w:tcPr>
          <w:p>
            <w:pPr>
              <w:spacing w:after="0"/>
              <w:rPr>
                <w:sz w:val="24"/>
                <w:szCs w:val="24"/>
                <w:color w:val="auto"/>
              </w:rPr>
            </w:pPr>
          </w:p>
        </w:tc>
        <w:tc>
          <w:tcPr>
            <w:tcW w:w="16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20"/>
                <w:szCs w:val="20"/>
                <w:color w:val="123054"/>
                <w:w w:val="85"/>
              </w:rPr>
              <w:t>•</w:t>
            </w:r>
          </w:p>
        </w:tc>
        <w:tc>
          <w:tcPr>
            <w:tcW w:w="1500" w:type="dxa"/>
            <w:vAlign w:val="bottom"/>
            <w:shd w:val="clear" w:color="auto" w:fill="DBDBDB"/>
          </w:tcPr>
          <w:p>
            <w:pPr>
              <w:jc w:val="center"/>
              <w:spacing w:after="0" w:line="201" w:lineRule="exact"/>
              <w:rPr>
                <w:sz w:val="20"/>
                <w:szCs w:val="20"/>
                <w:color w:val="auto"/>
              </w:rPr>
            </w:pPr>
            <w:r>
              <w:rPr>
                <w:rFonts w:ascii="MS PGothic" w:cs="MS PGothic" w:eastAsia="MS PGothic" w:hAnsi="MS PGothic"/>
                <w:sz w:val="20"/>
                <w:szCs w:val="20"/>
                <w:color w:val="123054"/>
              </w:rPr>
              <w:t>ℂ</w:t>
            </w:r>
          </w:p>
        </w:tc>
        <w:tc>
          <w:tcPr>
            <w:tcW w:w="0" w:type="dxa"/>
            <w:vAlign w:val="bottom"/>
          </w:tcPr>
          <w:p>
            <w:pPr>
              <w:spacing w:after="0"/>
              <w:rPr>
                <w:sz w:val="1"/>
                <w:szCs w:val="1"/>
                <w:color w:val="auto"/>
              </w:rPr>
            </w:pPr>
          </w:p>
        </w:tc>
      </w:tr>
      <w:tr>
        <w:trPr>
          <w:trHeight w:val="549"/>
        </w:trPr>
        <w:tc>
          <w:tcPr>
            <w:tcW w:w="2500" w:type="dxa"/>
            <w:vAlign w:val="bottom"/>
          </w:tcPr>
          <w:p>
            <w:pPr>
              <w:spacing w:after="0"/>
              <w:rPr>
                <w:sz w:val="24"/>
                <w:szCs w:val="24"/>
                <w:color w:val="auto"/>
              </w:rPr>
            </w:pPr>
          </w:p>
        </w:tc>
        <w:tc>
          <w:tcPr>
            <w:tcW w:w="1400" w:type="dxa"/>
            <w:vAlign w:val="bottom"/>
            <w:gridSpan w:val="2"/>
          </w:tcPr>
          <w:p>
            <w:pPr>
              <w:ind w:left="120"/>
              <w:spacing w:after="0" w:line="230" w:lineRule="exact"/>
              <w:rPr>
                <w:sz w:val="20"/>
                <w:szCs w:val="20"/>
                <w:color w:val="auto"/>
              </w:rPr>
            </w:pPr>
            <w:r>
              <w:rPr>
                <w:rFonts w:ascii="MS PGothic" w:cs="MS PGothic" w:eastAsia="MS PGothic" w:hAnsi="MS PGothic"/>
                <w:sz w:val="20"/>
                <w:szCs w:val="20"/>
                <w:color w:val="123054"/>
              </w:rPr>
              <w:t>ℂ</w:t>
            </w:r>
            <w:r>
              <w:rPr>
                <w:rFonts w:ascii="Arial" w:cs="Arial" w:eastAsia="Arial" w:hAnsi="Arial"/>
                <w:sz w:val="20"/>
                <w:szCs w:val="20"/>
                <w:color w:val="auto"/>
              </w:rPr>
              <w:t xml:space="preserve"> = Chair</w:t>
            </w:r>
          </w:p>
        </w:tc>
        <w:tc>
          <w:tcPr>
            <w:tcW w:w="3120" w:type="dxa"/>
            <w:vAlign w:val="bottom"/>
            <w:gridSpan w:val="2"/>
          </w:tcPr>
          <w:p>
            <w:pPr>
              <w:ind w:left="1320"/>
              <w:spacing w:after="0"/>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color w:val="000000"/>
              </w:rPr>
              <w:t>= Member</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40" w:top="1440" w:right="1339" w:bottom="1440" w:gutter="0" w:footer="0" w:header="0"/>
          <w:type w:val="continuous"/>
        </w:sectPr>
      </w:pPr>
    </w:p>
    <w:bookmarkStart w:id="5" w:name="page6"/>
    <w:bookmarkEnd w:id="5"/>
    <w:p>
      <w:pPr>
        <w:jc w:val="center"/>
        <w:ind w:right="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99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499110"/>
                    </a:xfrm>
                    <a:prstGeom prst="rect">
                      <a:avLst/>
                    </a:prstGeom>
                    <a:noFill/>
                  </pic:spPr>
                </pic:pic>
              </a:graphicData>
            </a:graphic>
          </wp:anchor>
        </w:drawing>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200"/>
          </w:cols>
          <w:pgMar w:left="1440" w:top="215"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DIRECTOR SKILLS MATRIX</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Board believes that the combination of backgrounds, skills, and experiences collectively possessed by the members of the Board well-qualifies the Board to exercise oversight responsibilities on behalf of our shareholders in light of Carter's current and future strategic plans. The following tables describe the key skills and definitions of those skills, a breakdown of the number of directors that hold each skill, and the self-identified skills for each independent member of our Board nominated for election at the 2025 Annual Meeting. We use the general Board membership criteria listed in our Corporate Governance Principles, along with the desired skills and qualifications listed in the following tables, to identify, screen, and recruit director candidates and make director nomination recommendations to the full Board.</w:t>
      </w:r>
    </w:p>
    <w:p>
      <w:pPr>
        <w:spacing w:after="0" w:line="218" w:lineRule="exact"/>
        <w:rPr>
          <w:sz w:val="20"/>
          <w:szCs w:val="20"/>
          <w:color w:val="auto"/>
        </w:rPr>
      </w:pPr>
    </w:p>
    <w:p>
      <w:pPr>
        <w:ind w:left="660"/>
        <w:spacing w:after="0"/>
        <w:tabs>
          <w:tab w:leader="none" w:pos="4640" w:val="left"/>
        </w:tabs>
        <w:rPr>
          <w:sz w:val="20"/>
          <w:szCs w:val="20"/>
          <w:color w:val="auto"/>
        </w:rPr>
      </w:pPr>
      <w:r>
        <w:rPr>
          <w:rFonts w:ascii="Arial" w:cs="Arial" w:eastAsia="Arial" w:hAnsi="Arial"/>
          <w:sz w:val="22"/>
          <w:szCs w:val="22"/>
          <w:b w:val="1"/>
          <w:bCs w:val="1"/>
          <w:color w:val="FFFFFF"/>
        </w:rPr>
        <w:t>Skill</w:t>
      </w:r>
      <w:r>
        <w:rPr>
          <w:sz w:val="20"/>
          <w:szCs w:val="20"/>
          <w:color w:val="auto"/>
        </w:rPr>
        <w:tab/>
      </w:r>
      <w:r>
        <w:rPr>
          <w:rFonts w:ascii="Arial" w:cs="Arial" w:eastAsia="Arial" w:hAnsi="Arial"/>
          <w:sz w:val="22"/>
          <w:szCs w:val="22"/>
          <w:b w:val="1"/>
          <w:bCs w:val="1"/>
          <w:color w:val="FFFFFF"/>
        </w:rPr>
        <w:t>Definitions</w:t>
      </w:r>
    </w:p>
    <w:p>
      <w:pPr>
        <w:sectPr>
          <w:pgSz w:w="11900" w:h="16838" w:orient="portrait"/>
          <w:cols w:equalWidth="0" w:num="1">
            <w:col w:w="9200"/>
          </w:cols>
          <w:pgMar w:left="1440" w:top="215" w:right="1259" w:bottom="0" w:gutter="0" w:footer="0" w:header="0"/>
          <w:type w:val="continuous"/>
        </w:sectPr>
      </w:pP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123054"/>
        </w:rPr>
        <w:t>Senior</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123054"/>
        </w:rPr>
        <w:t>Leadership</w:t>
      </w:r>
    </w:p>
    <w:p>
      <w:pPr>
        <w:spacing w:after="0" w:line="34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123054"/>
        </w:rPr>
        <w:t>Governance</w:t>
      </w:r>
    </w:p>
    <w:p>
      <w:pPr>
        <w:spacing w:after="0" w:line="378" w:lineRule="exact"/>
        <w:rPr>
          <w:sz w:val="20"/>
          <w:szCs w:val="20"/>
          <w:color w:val="auto"/>
        </w:rPr>
      </w:pPr>
    </w:p>
    <w:p>
      <w:pPr>
        <w:jc w:val="center"/>
        <w:ind w:left="220"/>
        <w:spacing w:after="0" w:line="312" w:lineRule="auto"/>
        <w:rPr>
          <w:sz w:val="20"/>
          <w:szCs w:val="20"/>
          <w:color w:val="auto"/>
        </w:rPr>
      </w:pPr>
      <w:r>
        <w:rPr>
          <w:rFonts w:ascii="Arial" w:cs="Arial" w:eastAsia="Arial" w:hAnsi="Arial"/>
          <w:sz w:val="19"/>
          <w:szCs w:val="19"/>
          <w:b w:val="1"/>
          <w:bCs w:val="1"/>
          <w:color w:val="123054"/>
        </w:rPr>
        <w:t>Retail Industry Experience</w:t>
      </w:r>
    </w:p>
    <w:p>
      <w:pPr>
        <w:spacing w:after="0" w:line="161" w:lineRule="exact"/>
        <w:rPr>
          <w:sz w:val="20"/>
          <w:szCs w:val="20"/>
          <w:color w:val="auto"/>
        </w:rPr>
      </w:pPr>
    </w:p>
    <w:p>
      <w:pPr>
        <w:ind w:left="500" w:right="180" w:hanging="65"/>
        <w:spacing w:after="0" w:line="312" w:lineRule="auto"/>
        <w:rPr>
          <w:sz w:val="20"/>
          <w:szCs w:val="20"/>
          <w:color w:val="auto"/>
        </w:rPr>
      </w:pPr>
      <w:r>
        <w:rPr>
          <w:rFonts w:ascii="Arial" w:cs="Arial" w:eastAsia="Arial" w:hAnsi="Arial"/>
          <w:sz w:val="19"/>
          <w:szCs w:val="19"/>
          <w:b w:val="1"/>
          <w:bCs w:val="1"/>
          <w:color w:val="123054"/>
        </w:rPr>
        <w:t>Consumer Strategy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123054"/>
        </w:rPr>
        <w:t>Digital /</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123054"/>
        </w:rPr>
        <w:t>Technology</w:t>
      </w:r>
    </w:p>
    <w:p>
      <w:pPr>
        <w:spacing w:after="0" w:line="29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23054"/>
        </w:rPr>
        <w:t>Financial</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123054"/>
        </w:rPr>
        <w:t>Expertise</w:t>
      </w:r>
    </w:p>
    <w:p>
      <w:pPr>
        <w:spacing w:after="0" w:line="263" w:lineRule="exact"/>
        <w:rPr>
          <w:sz w:val="20"/>
          <w:szCs w:val="20"/>
          <w:color w:val="auto"/>
        </w:rPr>
      </w:pPr>
    </w:p>
    <w:p>
      <w:pPr>
        <w:ind w:left="300" w:right="20" w:hanging="43"/>
        <w:spacing w:after="0" w:line="312" w:lineRule="auto"/>
        <w:rPr>
          <w:sz w:val="20"/>
          <w:szCs w:val="20"/>
          <w:color w:val="auto"/>
        </w:rPr>
      </w:pPr>
      <w:r>
        <w:rPr>
          <w:rFonts w:ascii="Arial" w:cs="Arial" w:eastAsia="Arial" w:hAnsi="Arial"/>
          <w:sz w:val="19"/>
          <w:szCs w:val="19"/>
          <w:b w:val="1"/>
          <w:bCs w:val="1"/>
          <w:color w:val="123054"/>
        </w:rPr>
        <w:t>HR and Talent Management</w:t>
      </w:r>
    </w:p>
    <w:p>
      <w:pPr>
        <w:spacing w:after="0" w:line="255"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123054"/>
        </w:rPr>
        <w:t>ESG</w:t>
      </w:r>
    </w:p>
    <w:p>
      <w:pPr>
        <w:spacing w:after="0" w:line="378" w:lineRule="exact"/>
        <w:rPr>
          <w:sz w:val="20"/>
          <w:szCs w:val="20"/>
          <w:color w:val="auto"/>
        </w:rPr>
      </w:pPr>
    </w:p>
    <w:p>
      <w:pPr>
        <w:jc w:val="right"/>
        <w:ind w:left="300" w:right="120"/>
        <w:spacing w:after="0" w:line="312" w:lineRule="auto"/>
        <w:rPr>
          <w:sz w:val="20"/>
          <w:szCs w:val="20"/>
          <w:color w:val="auto"/>
        </w:rPr>
      </w:pPr>
      <w:r>
        <w:rPr>
          <w:rFonts w:ascii="Arial" w:cs="Arial" w:eastAsia="Arial" w:hAnsi="Arial"/>
          <w:sz w:val="19"/>
          <w:szCs w:val="19"/>
          <w:b w:val="1"/>
          <w:bCs w:val="1"/>
          <w:color w:val="123054"/>
        </w:rPr>
        <w:t>International Expansion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123054"/>
        </w:rPr>
        <w:t>Global Supply</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123054"/>
        </w:rPr>
        <w:t>Chain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Experience in an executive officer role</w:t>
      </w: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Public company board experience, including more than three years on Carter's board</w:t>
      </w:r>
    </w:p>
    <w:p>
      <w:pPr>
        <w:spacing w:after="0" w:line="389"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Executive officer level experience or service on the board of directors at a retail and/ or consumer products company</w:t>
      </w:r>
    </w:p>
    <w:p>
      <w:pPr>
        <w:spacing w:after="0" w:line="88" w:lineRule="exact"/>
        <w:rPr>
          <w:sz w:val="20"/>
          <w:szCs w:val="20"/>
          <w:color w:val="auto"/>
        </w:rPr>
      </w:pPr>
    </w:p>
    <w:p>
      <w:pPr>
        <w:ind w:right="660"/>
        <w:spacing w:after="0" w:line="262" w:lineRule="auto"/>
        <w:rPr>
          <w:sz w:val="20"/>
          <w:szCs w:val="20"/>
          <w:color w:val="auto"/>
        </w:rPr>
      </w:pPr>
      <w:r>
        <w:rPr>
          <w:rFonts w:ascii="Arial" w:cs="Arial" w:eastAsia="Arial" w:hAnsi="Arial"/>
          <w:sz w:val="20"/>
          <w:szCs w:val="20"/>
          <w:color w:val="auto"/>
        </w:rPr>
        <w:t>Executive officer level experience in marketing, brand management, consumer insights, and brand strategy, or service on the board of directors of a retail or consumer products company</w:t>
      </w:r>
    </w:p>
    <w:p>
      <w:pPr>
        <w:spacing w:after="0" w:line="3"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Executive officer experience with technology, digital platforms and new media, data security, and data analytics; or service on the board of directors of a digital platforms, digital media, data security, or data analytics company</w:t>
      </w:r>
    </w:p>
    <w:p>
      <w:pPr>
        <w:spacing w:after="0" w:line="16"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Expertise with financial reporting, accounting, risk management, and capital allocation. Qualifies as an audit committee financial expert as defined under SEC and NYSE rules</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Executive or board level experience in managing large workforce and/or experience with executive compensation, employee engagement, and Chief Executive Officer (“CEO”) succession</w:t>
      </w:r>
    </w:p>
    <w:p>
      <w:pPr>
        <w:spacing w:after="0" w:line="84"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Executive officer or board level experience with relevant environmental, social, and governance (“ESG”) matters</w:t>
      </w:r>
    </w:p>
    <w:p>
      <w:pPr>
        <w:spacing w:after="0" w:line="196"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Executive officer or board level experience in managing business operations and growth in global markets</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Executive officer or board level experience with a company with global supply chain operations</w:t>
      </w:r>
    </w:p>
    <w:p>
      <w:pPr>
        <w:spacing w:after="0" w:line="200" w:lineRule="exact"/>
        <w:rPr>
          <w:sz w:val="20"/>
          <w:szCs w:val="20"/>
          <w:color w:val="auto"/>
        </w:rPr>
      </w:pPr>
    </w:p>
    <w:p>
      <w:pPr>
        <w:sectPr>
          <w:pgSz w:w="11900" w:h="16838" w:orient="portrait"/>
          <w:cols w:equalWidth="0" w:num="2">
            <w:col w:w="1600" w:space="80"/>
            <w:col w:w="7520"/>
          </w:cols>
          <w:pgMar w:left="1440" w:top="215" w:right="1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98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984885"/>
                    </a:xfrm>
                    <a:prstGeom prst="rect">
                      <a:avLst/>
                    </a:prstGeom>
                    <a:noFill/>
                  </pic:spPr>
                </pic:pic>
              </a:graphicData>
            </a:graphic>
          </wp:anchor>
        </w:drawing>
      </w:r>
    </w:p>
    <w:p>
      <w:pPr>
        <w:sectPr>
          <w:pgSz w:w="11900" w:h="16838" w:orient="portrait"/>
          <w:cols w:equalWidth="0" w:num="1">
            <w:col w:w="9200"/>
          </w:cols>
          <w:pgMar w:left="1440" w:top="215" w:right="1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123054"/>
        </w:rPr>
        <w:t>SKILLS AND EXPERIENCE</w:t>
      </w:r>
    </w:p>
    <w:p>
      <w:pPr>
        <w:sectPr>
          <w:pgSz w:w="11900" w:h="16838" w:orient="portrait"/>
          <w:cols w:equalWidth="0" w:num="1">
            <w:col w:w="9200"/>
          </w:cols>
          <w:pgMar w:left="1440" w:top="215" w:right="1259"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871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787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256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0375" cy="2562225"/>
                    </a:xfrm>
                    <a:prstGeom prst="rect">
                      <a:avLst/>
                    </a:prstGeom>
                    <a:noFill/>
                  </pic:spPr>
                </pic:pic>
              </a:graphicData>
            </a:graphic>
          </wp:anchor>
        </w:drawing>
      </w:r>
    </w:p>
    <w:p>
      <w:pPr>
        <w:sectPr>
          <w:pgSz w:w="11900" w:h="16838" w:orient="portrait"/>
          <w:cols w:equalWidth="0" w:num="1">
            <w:col w:w="9180"/>
          </w:cols>
          <w:pgMar w:left="1440" w:top="1440" w:right="1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2025 NOMINEES FOR DIRECTOR</w:t>
      </w:r>
    </w:p>
    <w:p>
      <w:pPr>
        <w:spacing w:after="0" w:line="199" w:lineRule="exact"/>
        <w:rPr>
          <w:sz w:val="20"/>
          <w:szCs w:val="20"/>
          <w:color w:val="auto"/>
        </w:rPr>
      </w:pPr>
    </w:p>
    <w:p>
      <w:pPr>
        <w:ind w:left="140"/>
        <w:spacing w:after="0" w:line="242" w:lineRule="auto"/>
        <w:rPr>
          <w:sz w:val="20"/>
          <w:szCs w:val="20"/>
          <w:color w:val="auto"/>
        </w:rPr>
      </w:pPr>
      <w:r>
        <w:rPr>
          <w:rFonts w:ascii="Arial" w:cs="Arial" w:eastAsia="Arial" w:hAnsi="Arial"/>
          <w:sz w:val="20"/>
          <w:szCs w:val="20"/>
          <w:color w:val="auto"/>
        </w:rPr>
        <w:t>After considering the recommendations of the Nominating &amp; Corporate Governance Committee, the Board has set the number of directors at 11 and nominated all current directors to stand for re-election. Mr. Casey retired as an officer and director in January 2025 and is not standing for re-election, and Mr. Palladini was appointed to the Board on April 3, 2025 and is standing for re-election. The Board believes that each of the nominees is qualified to serve as a director of Carter's and, in addition to the skills listed in the table on page 4, certain key qualifications of each nominee that were considered by the Board follow each nominee’s biographical description.</w:t>
      </w:r>
    </w:p>
    <w:p>
      <w:pPr>
        <w:spacing w:after="0" w:line="186" w:lineRule="exact"/>
        <w:rPr>
          <w:sz w:val="20"/>
          <w:szCs w:val="20"/>
          <w:color w:val="auto"/>
        </w:rPr>
      </w:pPr>
    </w:p>
    <w:p>
      <w:pPr>
        <w:ind w:left="140" w:right="280"/>
        <w:spacing w:after="0" w:line="255" w:lineRule="auto"/>
        <w:rPr>
          <w:sz w:val="20"/>
          <w:szCs w:val="20"/>
          <w:color w:val="auto"/>
        </w:rPr>
      </w:pPr>
      <w:r>
        <w:rPr>
          <w:rFonts w:ascii="Arial" w:cs="Arial" w:eastAsia="Arial" w:hAnsi="Arial"/>
          <w:sz w:val="20"/>
          <w:szCs w:val="20"/>
          <w:color w:val="auto"/>
        </w:rPr>
        <w:t>We believe that all nominees will be able and willing to serve if elected. However, if any nominee should become unable or unwilling to serve for any reason, proxies may be voted for another person nominated as a substitute by the Board, or the Board may reduce the number of directors.</w:t>
      </w:r>
    </w:p>
    <w:p>
      <w:pPr>
        <w:sectPr>
          <w:pgSz w:w="11900" w:h="16838" w:orient="portrait"/>
          <w:cols w:equalWidth="0" w:num="1">
            <w:col w:w="9180"/>
          </w:cols>
          <w:pgMar w:left="1440" w:top="1440" w:right="127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123054"/>
        </w:rPr>
        <w:t>WILLIAM J. MONTGORIS</w:t>
      </w:r>
    </w:p>
    <w:p>
      <w:pPr>
        <w:spacing w:after="0" w:line="83" w:lineRule="exact"/>
        <w:rPr>
          <w:sz w:val="20"/>
          <w:szCs w:val="20"/>
          <w:color w:val="auto"/>
        </w:rPr>
      </w:pPr>
    </w:p>
    <w:p>
      <w:pPr>
        <w:ind w:left="180" w:right="640"/>
        <w:spacing w:after="0" w:line="290" w:lineRule="auto"/>
        <w:rPr>
          <w:sz w:val="20"/>
          <w:szCs w:val="20"/>
          <w:color w:val="auto"/>
        </w:rPr>
      </w:pPr>
      <w:r>
        <w:rPr>
          <w:rFonts w:ascii="Arial" w:cs="Arial" w:eastAsia="Arial" w:hAnsi="Arial"/>
          <w:sz w:val="20"/>
          <w:szCs w:val="20"/>
          <w:i w:val="1"/>
          <w:iCs w:val="1"/>
          <w:color w:val="auto"/>
        </w:rPr>
        <w:t xml:space="preserve">Non-Executive Chairman </w:t>
      </w:r>
      <w:r>
        <w:rPr>
          <w:rFonts w:ascii="Arial" w:cs="Arial" w:eastAsia="Arial" w:hAnsi="Arial"/>
          <w:sz w:val="20"/>
          <w:szCs w:val="20"/>
          <w:color w:val="auto"/>
        </w:rPr>
        <w:t xml:space="preserve">Director since 2007 </w:t>
      </w:r>
      <w:r>
        <w:rPr>
          <w:rFonts w:ascii="Arial" w:cs="Arial" w:eastAsia="Arial" w:hAnsi="Arial"/>
          <w:sz w:val="20"/>
          <w:szCs w:val="20"/>
          <w:b w:val="1"/>
          <w:bCs w:val="1"/>
          <w:color w:val="auto"/>
        </w:rPr>
        <w:t>Age:</w:t>
      </w:r>
      <w:r>
        <w:rPr>
          <w:rFonts w:ascii="Arial" w:cs="Arial" w:eastAsia="Arial" w:hAnsi="Arial"/>
          <w:sz w:val="20"/>
          <w:szCs w:val="20"/>
          <w:color w:val="auto"/>
        </w:rPr>
        <w:t>78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Committee:</w:t>
      </w:r>
    </w:p>
    <w:p>
      <w:pPr>
        <w:spacing w:after="0" w:line="137" w:lineRule="exact"/>
        <w:rPr>
          <w:sz w:val="20"/>
          <w:szCs w:val="20"/>
          <w:color w:val="auto"/>
        </w:rPr>
      </w:pPr>
    </w:p>
    <w:p>
      <w:pPr>
        <w:ind w:left="640" w:right="240" w:hanging="222"/>
        <w:spacing w:after="0" w:line="254" w:lineRule="auto"/>
        <w:tabs>
          <w:tab w:leader="none" w:pos="640" w:val="left"/>
        </w:tabs>
        <w:numPr>
          <w:ilvl w:val="0"/>
          <w:numId w:val="6"/>
        </w:numPr>
        <w:rPr>
          <w:rFonts w:ascii="Arial" w:cs="Arial" w:eastAsia="Arial" w:hAnsi="Arial"/>
          <w:sz w:val="19"/>
          <w:szCs w:val="19"/>
          <w:color w:val="123054"/>
        </w:rPr>
      </w:pPr>
      <w:r>
        <w:rPr>
          <w:rFonts w:ascii="Arial" w:cs="Arial" w:eastAsia="Arial" w:hAnsi="Arial"/>
          <w:sz w:val="19"/>
          <w:szCs w:val="19"/>
          <w:color w:val="auto"/>
        </w:rPr>
        <w:t>Nominating &amp; Corporate Governance (Chair)</w:t>
      </w:r>
    </w:p>
    <w:p>
      <w:pPr>
        <w:spacing w:after="0" w:line="197" w:lineRule="exact"/>
        <w:rPr>
          <w:sz w:val="20"/>
          <w:szCs w:val="20"/>
          <w:color w:val="auto"/>
        </w:rPr>
      </w:pPr>
    </w:p>
    <w:p>
      <w:pPr>
        <w:ind w:left="180" w:right="780"/>
        <w:spacing w:after="0" w:line="267" w:lineRule="auto"/>
        <w:rPr>
          <w:sz w:val="20"/>
          <w:szCs w:val="20"/>
          <w:color w:val="auto"/>
        </w:rPr>
      </w:pPr>
      <w:r>
        <w:rPr>
          <w:rFonts w:ascii="Arial" w:cs="Arial" w:eastAsia="Arial" w:hAnsi="Arial"/>
          <w:sz w:val="19"/>
          <w:szCs w:val="19"/>
          <w:b w:val="1"/>
          <w:bCs w:val="1"/>
          <w:color w:val="auto"/>
        </w:rPr>
        <w:t>Prior Public Company Directorships:</w:t>
      </w:r>
    </w:p>
    <w:p>
      <w:pPr>
        <w:spacing w:after="0" w:line="69" w:lineRule="exact"/>
        <w:rPr>
          <w:sz w:val="20"/>
          <w:szCs w:val="20"/>
          <w:color w:val="auto"/>
        </w:rPr>
      </w:pPr>
    </w:p>
    <w:p>
      <w:pPr>
        <w:ind w:left="660" w:hanging="240"/>
        <w:spacing w:after="0" w:line="275" w:lineRule="auto"/>
        <w:tabs>
          <w:tab w:leader="none" w:pos="660" w:val="left"/>
        </w:tabs>
        <w:numPr>
          <w:ilvl w:val="0"/>
          <w:numId w:val="7"/>
        </w:numPr>
        <w:rPr>
          <w:rFonts w:ascii="Arial" w:cs="Arial" w:eastAsia="Arial" w:hAnsi="Arial"/>
          <w:sz w:val="19"/>
          <w:szCs w:val="19"/>
          <w:color w:val="123054"/>
        </w:rPr>
      </w:pPr>
      <w:r>
        <w:rPr>
          <w:rFonts w:ascii="Arial" w:cs="Arial" w:eastAsia="Arial" w:hAnsi="Arial"/>
          <w:sz w:val="19"/>
          <w:szCs w:val="19"/>
          <w:color w:val="auto"/>
        </w:rPr>
        <w:t>Stage Stores, Inc. (2004 to 2020, serving as Chair of Board from 2010 to 2020)</w:t>
      </w:r>
    </w:p>
    <w:p>
      <w:pPr>
        <w:spacing w:after="0" w:line="20" w:lineRule="exact"/>
        <w:rPr>
          <w:sz w:val="20"/>
          <w:szCs w:val="20"/>
          <w:color w:val="auto"/>
        </w:rPr>
      </w:pPr>
      <w:r>
        <w:rPr>
          <w:sz w:val="20"/>
          <w:szCs w:val="20"/>
          <w:color w:val="auto"/>
        </w:rPr>
        <w:br w:type="column"/>
      </w:r>
    </w:p>
    <w:p>
      <w:pPr>
        <w:ind w:right="140"/>
        <w:spacing w:after="0"/>
        <w:rPr>
          <w:sz w:val="20"/>
          <w:szCs w:val="20"/>
          <w:color w:val="auto"/>
        </w:rPr>
      </w:pPr>
      <w:r>
        <w:rPr>
          <w:rFonts w:ascii="Arial" w:cs="Arial" w:eastAsia="Arial" w:hAnsi="Arial"/>
          <w:sz w:val="20"/>
          <w:szCs w:val="20"/>
          <w:b w:val="1"/>
          <w:bCs w:val="1"/>
          <w:i w:val="1"/>
          <w:iCs w:val="1"/>
          <w:color w:val="auto"/>
        </w:rPr>
        <w:t>William J. Montgoris</w:t>
      </w:r>
      <w:r>
        <w:rPr>
          <w:rFonts w:ascii="Arial" w:cs="Arial" w:eastAsia="Arial" w:hAnsi="Arial"/>
          <w:sz w:val="20"/>
          <w:szCs w:val="20"/>
          <w:color w:val="auto"/>
        </w:rPr>
        <w:t>retired as Chief Operating Officer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Bear Stearns Companies, Inc. (“Bear Stearns”) in 1999, a position he held since August 1993, after spending 20 years with the company. While at Bear Stearns, Mr. Montgoris also served as the company’s Chief Financial Officer from April 1987 until October 1996. Mr. Montgoris is a trustee of the Hackensack Meridian School of Medicine and a trustee emeritus of Colby College and St. John’s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-1376680</wp:posOffset>
            </wp:positionV>
            <wp:extent cx="6810375" cy="6294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62941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48" w:lineRule="exact"/>
        <w:rPr>
          <w:sz w:val="20"/>
          <w:szCs w:val="20"/>
          <w:color w:val="auto"/>
        </w:rPr>
      </w:pPr>
    </w:p>
    <w:p>
      <w:pPr>
        <w:ind w:left="360" w:right="300" w:hanging="321"/>
        <w:spacing w:after="0" w:line="220" w:lineRule="auto"/>
        <w:tabs>
          <w:tab w:leader="none" w:pos="360" w:val="left"/>
        </w:tabs>
        <w:numPr>
          <w:ilvl w:val="0"/>
          <w:numId w:val="8"/>
        </w:numPr>
        <w:rPr>
          <w:rFonts w:ascii="Arial" w:cs="Arial" w:eastAsia="Arial" w:hAnsi="Arial"/>
          <w:sz w:val="20"/>
          <w:szCs w:val="20"/>
          <w:color w:val="123054"/>
        </w:rPr>
      </w:pPr>
      <w:r>
        <w:rPr>
          <w:rFonts w:ascii="Arial" w:cs="Arial" w:eastAsia="Arial" w:hAnsi="Arial"/>
          <w:sz w:val="20"/>
          <w:szCs w:val="20"/>
          <w:i w:val="1"/>
          <w:iCs w:val="1"/>
          <w:color w:val="auto"/>
        </w:rPr>
        <w:t>Valuable perspectives and insights with respect to finance and accounting after spending over 20 years in the investment banking industry. His financial expertise provides our Board a deep understanding of financial and audit-related matters</w:t>
      </w:r>
    </w:p>
    <w:p>
      <w:pPr>
        <w:spacing w:after="0" w:line="3" w:lineRule="exact"/>
        <w:rPr>
          <w:rFonts w:ascii="Arial" w:cs="Arial" w:eastAsia="Arial" w:hAnsi="Arial"/>
          <w:sz w:val="20"/>
          <w:szCs w:val="20"/>
          <w:color w:val="123054"/>
        </w:rPr>
      </w:pPr>
    </w:p>
    <w:p>
      <w:pPr>
        <w:ind w:left="360" w:right="360" w:hanging="321"/>
        <w:spacing w:after="0" w:line="232" w:lineRule="auto"/>
        <w:tabs>
          <w:tab w:leader="none" w:pos="360" w:val="left"/>
        </w:tabs>
        <w:numPr>
          <w:ilvl w:val="0"/>
          <w:numId w:val="8"/>
        </w:numPr>
        <w:rPr>
          <w:rFonts w:ascii="Arial" w:cs="Arial" w:eastAsia="Arial" w:hAnsi="Arial"/>
          <w:sz w:val="20"/>
          <w:szCs w:val="20"/>
          <w:color w:val="123054"/>
        </w:rPr>
      </w:pPr>
      <w:r>
        <w:rPr>
          <w:rFonts w:ascii="Arial" w:cs="Arial" w:eastAsia="Arial" w:hAnsi="Arial"/>
          <w:sz w:val="20"/>
          <w:szCs w:val="20"/>
          <w:i w:val="1"/>
          <w:iCs w:val="1"/>
          <w:color w:val="auto"/>
        </w:rPr>
        <w:t>Valuable insight with respect to the retail industry and the oversight of public companies</w:t>
      </w:r>
    </w:p>
    <w:p>
      <w:pPr>
        <w:spacing w:after="0" w:line="2310" w:lineRule="exact"/>
        <w:rPr>
          <w:sz w:val="20"/>
          <w:szCs w:val="20"/>
          <w:color w:val="auto"/>
        </w:rPr>
      </w:pPr>
    </w:p>
    <w:p>
      <w:pPr>
        <w:sectPr>
          <w:pgSz w:w="11900" w:h="16838" w:orient="portrait"/>
          <w:cols w:equalWidth="0" w:num="2">
            <w:col w:w="3020" w:space="520"/>
            <w:col w:w="5720"/>
          </w:cols>
          <w:pgMar w:left="1440" w:top="469"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4139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4139565"/>
                    </a:xfrm>
                    <a:prstGeom prst="rect">
                      <a:avLst/>
                    </a:prstGeom>
                    <a:noFill/>
                  </pic:spPr>
                </pic:pic>
              </a:graphicData>
            </a:graphic>
          </wp:anchor>
        </w:drawing>
      </w:r>
    </w:p>
    <w:p>
      <w:pPr>
        <w:sectPr>
          <w:pgSz w:w="11900" w:h="16838" w:orient="portrait"/>
          <w:cols w:equalWidth="0" w:num="1">
            <w:col w:w="9260"/>
          </w:cols>
          <w:pgMar w:left="1440" w:top="469" w:right="1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23054"/>
        </w:rPr>
        <w:t>ROCHESTER ANDERSON, JR.</w:t>
      </w:r>
    </w:p>
    <w:p>
      <w:pPr>
        <w:spacing w:after="0" w:line="94" w:lineRule="exact"/>
        <w:rPr>
          <w:sz w:val="20"/>
          <w:szCs w:val="20"/>
          <w:color w:val="auto"/>
        </w:rPr>
      </w:pPr>
    </w:p>
    <w:p>
      <w:pPr>
        <w:ind w:left="180" w:right="120"/>
        <w:spacing w:after="0" w:line="294"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2022</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63</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Committee:</w:t>
      </w:r>
    </w:p>
    <w:p>
      <w:pPr>
        <w:spacing w:after="0" w:line="137" w:lineRule="exact"/>
        <w:rPr>
          <w:sz w:val="20"/>
          <w:szCs w:val="20"/>
          <w:color w:val="auto"/>
        </w:rPr>
      </w:pPr>
    </w:p>
    <w:p>
      <w:pPr>
        <w:ind w:left="640" w:right="220" w:hanging="222"/>
        <w:spacing w:after="0" w:line="234" w:lineRule="auto"/>
        <w:tabs>
          <w:tab w:leader="none" w:pos="640" w:val="left"/>
        </w:tabs>
        <w:numPr>
          <w:ilvl w:val="0"/>
          <w:numId w:val="9"/>
        </w:numPr>
        <w:rPr>
          <w:rFonts w:ascii="Arial" w:cs="Arial" w:eastAsia="Arial" w:hAnsi="Arial"/>
          <w:sz w:val="20"/>
          <w:szCs w:val="20"/>
          <w:color w:val="123054"/>
        </w:rPr>
      </w:pPr>
      <w:r>
        <w:rPr>
          <w:rFonts w:ascii="Arial" w:cs="Arial" w:eastAsia="Arial" w:hAnsi="Arial"/>
          <w:sz w:val="20"/>
          <w:szCs w:val="20"/>
          <w:color w:val="auto"/>
        </w:rPr>
        <w:t>Compensation &amp; Human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i w:val="1"/>
          <w:iCs w:val="1"/>
          <w:color w:val="auto"/>
        </w:rPr>
        <w:t xml:space="preserve">Rochester Anderson, </w:t>
      </w:r>
      <w:r>
        <w:rPr>
          <w:rFonts w:ascii="Arial" w:cs="Arial" w:eastAsia="Arial" w:hAnsi="Arial"/>
          <w:sz w:val="19"/>
          <w:szCs w:val="19"/>
          <w:color w:val="auto"/>
        </w:rPr>
        <w:t>has</w:t>
      </w:r>
      <w:r>
        <w:rPr>
          <w:rFonts w:ascii="Arial" w:cs="Arial" w:eastAsia="Arial" w:hAnsi="Arial"/>
          <w:sz w:val="19"/>
          <w:szCs w:val="19"/>
          <w:b w:val="1"/>
          <w:bCs w:val="1"/>
          <w:i w:val="1"/>
          <w:iCs w:val="1"/>
          <w:color w:val="auto"/>
        </w:rPr>
        <w:t xml:space="preserve">Jr. </w:t>
      </w:r>
      <w:r>
        <w:rPr>
          <w:rFonts w:ascii="Arial" w:cs="Arial" w:eastAsia="Arial" w:hAnsi="Arial"/>
          <w:sz w:val="19"/>
          <w:szCs w:val="19"/>
          <w:color w:val="auto"/>
        </w:rPr>
        <w:t>over 30 years of human resources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operational experience at various public and private corporations, including more than 15 years of experience leading human resource organizations and more than 15 years of operational experience with public and private corporations and non-profit organizations. Mr. Anderson is currently Chief Human Resources Officer, Emory Healthcare, which he joined in September 2022. Previously, from February 2020 to September 2022, Mr. Anderson served as Chief Human Resources Officer of AutoNation, Inc., a publicly-traded company and the nation’s largest automobile dealer with over 21,000 associates, working in over 400 locations across 18 states.</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Mr. Anderson previously served as Senior Vice President, People Solutions for the Financial Industry Regulatory Authority, from May 2019 to February 2020, and served from 2006 to 2018 in various human resource focused and operational roles at Cox Automotive Inc., including serving as Chief Human Resources Officer and Executive Vice President from 2014 to 2018. Mr. Anderson’s experience focuses on human capital management, career development and training, operational management, and diversity and inclusion.</w:t>
      </w:r>
    </w:p>
    <w:p>
      <w:pPr>
        <w:sectPr>
          <w:pgSz w:w="11900" w:h="16838" w:orient="portrait"/>
          <w:cols w:equalWidth="0" w:num="2">
            <w:col w:w="3020" w:space="540"/>
            <w:col w:w="5700"/>
          </w:cols>
          <w:pgMar w:left="1440" w:top="469" w:right="1199" w:bottom="0" w:gutter="0" w:footer="0" w:header="0"/>
          <w:type w:val="continuous"/>
        </w:sectPr>
      </w:pPr>
    </w:p>
    <w:bookmarkStart w:id="8" w:name="page9"/>
    <w:bookmarkEnd w:id="8"/>
    <w:p>
      <w:pPr>
        <w:spacing w:after="0" w:line="34" w:lineRule="exact"/>
        <w:rPr>
          <w:sz w:val="20"/>
          <w:szCs w:val="20"/>
          <w:color w:val="auto"/>
        </w:rPr>
      </w:pPr>
    </w:p>
    <w:p>
      <w:pPr>
        <w:jc w:val="center"/>
        <w:ind w:left="3160"/>
        <w:spacing w:after="0"/>
        <w:rPr>
          <w:sz w:val="20"/>
          <w:szCs w:val="20"/>
          <w:color w:val="auto"/>
        </w:rPr>
      </w:pPr>
      <w:r>
        <w:rPr>
          <w:rFonts w:ascii="Arial" w:cs="Arial" w:eastAsia="Arial" w:hAnsi="Arial"/>
          <w:sz w:val="20"/>
          <w:szCs w:val="20"/>
          <w:i w:val="1"/>
          <w:i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-123825</wp:posOffset>
            </wp:positionV>
            <wp:extent cx="6810375" cy="4716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4716780"/>
                    </a:xfrm>
                    <a:prstGeom prst="rect">
                      <a:avLst/>
                    </a:prstGeom>
                    <a:noFill/>
                  </pic:spPr>
                </pic:pic>
              </a:graphicData>
            </a:graphic>
          </wp:anchor>
        </w:drawing>
      </w:r>
    </w:p>
    <w:p>
      <w:pPr>
        <w:spacing w:after="0" w:line="73" w:lineRule="exact"/>
        <w:rPr>
          <w:sz w:val="20"/>
          <w:szCs w:val="20"/>
          <w:color w:val="auto"/>
        </w:rPr>
      </w:pPr>
    </w:p>
    <w:p>
      <w:pPr>
        <w:ind w:left="3900" w:right="520" w:hanging="321"/>
        <w:spacing w:after="0" w:line="227" w:lineRule="auto"/>
        <w:tabs>
          <w:tab w:leader="none" w:pos="3900" w:val="left"/>
        </w:tabs>
        <w:numPr>
          <w:ilvl w:val="0"/>
          <w:numId w:val="10"/>
        </w:numPr>
        <w:rPr>
          <w:rFonts w:ascii="Arial" w:cs="Arial" w:eastAsia="Arial" w:hAnsi="Arial"/>
          <w:sz w:val="20"/>
          <w:szCs w:val="20"/>
          <w:color w:val="123054"/>
        </w:rPr>
      </w:pPr>
      <w:r>
        <w:rPr>
          <w:rFonts w:ascii="Arial" w:cs="Arial" w:eastAsia="Arial" w:hAnsi="Arial"/>
          <w:sz w:val="20"/>
          <w:szCs w:val="20"/>
          <w:i w:val="1"/>
          <w:iCs w:val="1"/>
          <w:color w:val="auto"/>
        </w:rPr>
        <w:t>Significant human capital management, organizational improvement, compensation and benefits, and executive management experience</w:t>
      </w:r>
    </w:p>
    <w:p>
      <w:pPr>
        <w:ind w:left="3900" w:right="360" w:hanging="321"/>
        <w:spacing w:after="0" w:line="232" w:lineRule="auto"/>
        <w:tabs>
          <w:tab w:leader="none" w:pos="3900" w:val="left"/>
        </w:tabs>
        <w:numPr>
          <w:ilvl w:val="0"/>
          <w:numId w:val="10"/>
        </w:numPr>
        <w:rPr>
          <w:rFonts w:ascii="Arial" w:cs="Arial" w:eastAsia="Arial" w:hAnsi="Arial"/>
          <w:sz w:val="20"/>
          <w:szCs w:val="20"/>
          <w:i w:val="1"/>
          <w:iCs w:val="1"/>
          <w:color w:val="123054"/>
        </w:rPr>
      </w:pPr>
      <w:r>
        <w:rPr>
          <w:rFonts w:ascii="Arial" w:cs="Arial" w:eastAsia="Arial" w:hAnsi="Arial"/>
          <w:sz w:val="20"/>
          <w:szCs w:val="20"/>
          <w:i w:val="1"/>
          <w:iCs w:val="1"/>
          <w:color w:val="auto"/>
        </w:rPr>
        <w:t>Valuable insights into workforce dynamics, diversity, equity and inclusion, and executive development</w:t>
      </w:r>
    </w:p>
    <w:p>
      <w:pPr>
        <w:ind w:left="3900" w:right="380" w:hanging="321"/>
        <w:spacing w:after="0" w:line="232" w:lineRule="auto"/>
        <w:tabs>
          <w:tab w:leader="none" w:pos="3900" w:val="left"/>
        </w:tabs>
        <w:numPr>
          <w:ilvl w:val="0"/>
          <w:numId w:val="10"/>
        </w:numPr>
        <w:rPr>
          <w:rFonts w:ascii="Arial" w:cs="Arial" w:eastAsia="Arial" w:hAnsi="Arial"/>
          <w:sz w:val="20"/>
          <w:szCs w:val="20"/>
          <w:i w:val="1"/>
          <w:iCs w:val="1"/>
          <w:color w:val="123054"/>
        </w:rPr>
      </w:pPr>
      <w:r>
        <w:rPr>
          <w:rFonts w:ascii="Arial" w:cs="Arial" w:eastAsia="Arial" w:hAnsi="Arial"/>
          <w:sz w:val="20"/>
          <w:szCs w:val="20"/>
          <w:i w:val="1"/>
          <w:iCs w:val="1"/>
          <w:color w:val="auto"/>
        </w:rPr>
        <w:t>Substantial operational experience in retail and consumer-focused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716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571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20"/>
                <w:szCs w:val="20"/>
                <w:b w:val="1"/>
                <w:bCs w:val="1"/>
                <w:i w:val="1"/>
                <w:iCs w:val="1"/>
                <w:color w:val="auto"/>
              </w:rPr>
              <w:t>Jeffrey H. Black</w:t>
            </w:r>
            <w:r>
              <w:rPr>
                <w:rFonts w:ascii="Arial" w:cs="Arial" w:eastAsia="Arial" w:hAnsi="Arial"/>
                <w:sz w:val="20"/>
                <w:szCs w:val="20"/>
                <w:color w:val="auto"/>
              </w:rPr>
              <w:t>served as Senior Partner and Vice Chairman of</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20"/>
                <w:szCs w:val="20"/>
                <w:color w:val="auto"/>
              </w:rPr>
              <w:t>Deloitte LLP from 2002 to 2016 and as Partner-in-Charge of</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6160" w:type="dxa"/>
            <w:vAlign w:val="bottom"/>
          </w:tcPr>
          <w:p>
            <w:pPr>
              <w:ind w:left="340"/>
              <w:spacing w:after="0" w:line="216" w:lineRule="exact"/>
              <w:rPr>
                <w:sz w:val="20"/>
                <w:szCs w:val="20"/>
                <w:color w:val="auto"/>
              </w:rPr>
            </w:pPr>
            <w:r>
              <w:rPr>
                <w:rFonts w:ascii="Arial" w:cs="Arial" w:eastAsia="Arial" w:hAnsi="Arial"/>
                <w:sz w:val="20"/>
                <w:szCs w:val="20"/>
                <w:color w:val="auto"/>
              </w:rPr>
              <w:t>Arthur Andersen LLP’s Metro New York audit practice from 1988</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20"/>
                <w:szCs w:val="20"/>
                <w:color w:val="auto"/>
              </w:rPr>
              <w:t>to 2002. Mr. Black has 40 years of experience leading teams</w:t>
            </w:r>
          </w:p>
        </w:tc>
        <w:tc>
          <w:tcPr>
            <w:tcW w:w="0" w:type="dxa"/>
            <w:vAlign w:val="bottom"/>
          </w:tcPr>
          <w:p>
            <w:pPr>
              <w:spacing w:after="0"/>
              <w:rPr>
                <w:sz w:val="1"/>
                <w:szCs w:val="1"/>
                <w:color w:val="auto"/>
              </w:rPr>
            </w:pPr>
          </w:p>
        </w:tc>
      </w:tr>
      <w:tr>
        <w:trPr>
          <w:trHeight w:val="261"/>
        </w:trPr>
        <w:tc>
          <w:tcPr>
            <w:tcW w:w="3080" w:type="dxa"/>
            <w:vAlign w:val="bottom"/>
          </w:tcPr>
          <w:p>
            <w:pPr>
              <w:spacing w:after="0"/>
              <w:rPr>
                <w:sz w:val="22"/>
                <w:szCs w:val="22"/>
                <w:color w:val="auto"/>
              </w:rPr>
            </w:pPr>
          </w:p>
        </w:tc>
        <w:tc>
          <w:tcPr>
            <w:tcW w:w="6160" w:type="dxa"/>
            <w:vAlign w:val="bottom"/>
          </w:tcPr>
          <w:p>
            <w:pPr>
              <w:ind w:left="340"/>
              <w:spacing w:after="0"/>
              <w:rPr>
                <w:sz w:val="20"/>
                <w:szCs w:val="20"/>
                <w:color w:val="auto"/>
              </w:rPr>
            </w:pPr>
            <w:r>
              <w:rPr>
                <w:rFonts w:ascii="Arial" w:cs="Arial" w:eastAsia="Arial" w:hAnsi="Arial"/>
                <w:sz w:val="20"/>
                <w:szCs w:val="20"/>
                <w:color w:val="auto"/>
              </w:rPr>
              <w:t>serving those firms’ largest and most complex global clients.</w:t>
            </w:r>
          </w:p>
        </w:tc>
        <w:tc>
          <w:tcPr>
            <w:tcW w:w="0" w:type="dxa"/>
            <w:vAlign w:val="bottom"/>
          </w:tcPr>
          <w:p>
            <w:pPr>
              <w:spacing w:after="0"/>
              <w:rPr>
                <w:sz w:val="1"/>
                <w:szCs w:val="1"/>
                <w:color w:val="auto"/>
              </w:rPr>
            </w:pPr>
          </w:p>
        </w:tc>
      </w:tr>
      <w:tr>
        <w:trPr>
          <w:trHeight w:val="500"/>
        </w:trPr>
        <w:tc>
          <w:tcPr>
            <w:tcW w:w="3080" w:type="dxa"/>
            <w:vAlign w:val="bottom"/>
          </w:tcPr>
          <w:p>
            <w:pPr>
              <w:spacing w:after="0"/>
              <w:rPr>
                <w:sz w:val="24"/>
                <w:szCs w:val="24"/>
                <w:color w:val="auto"/>
              </w:rPr>
            </w:pPr>
          </w:p>
        </w:tc>
        <w:tc>
          <w:tcPr>
            <w:tcW w:w="6160" w:type="dxa"/>
            <w:vAlign w:val="bottom"/>
          </w:tcPr>
          <w:p>
            <w:pPr>
              <w:ind w:left="340"/>
              <w:spacing w:after="0"/>
              <w:rPr>
                <w:sz w:val="20"/>
                <w:szCs w:val="20"/>
                <w:color w:val="auto"/>
              </w:rPr>
            </w:pPr>
            <w:r>
              <w:rPr>
                <w:rFonts w:ascii="Arial" w:cs="Arial" w:eastAsia="Arial" w:hAnsi="Arial"/>
                <w:sz w:val="20"/>
                <w:szCs w:val="20"/>
                <w:i w:val="1"/>
                <w:iCs w:val="1"/>
                <w:color w:val="auto"/>
              </w:rPr>
              <w:t>Director Qualifications:</w:t>
            </w:r>
          </w:p>
        </w:tc>
        <w:tc>
          <w:tcPr>
            <w:tcW w:w="0" w:type="dxa"/>
            <w:vAlign w:val="bottom"/>
          </w:tcPr>
          <w:p>
            <w:pPr>
              <w:spacing w:after="0"/>
              <w:rPr>
                <w:sz w:val="1"/>
                <w:szCs w:val="1"/>
                <w:color w:val="auto"/>
              </w:rPr>
            </w:pPr>
          </w:p>
        </w:tc>
      </w:tr>
      <w:tr>
        <w:trPr>
          <w:trHeight w:val="306"/>
        </w:trPr>
        <w:tc>
          <w:tcPr>
            <w:tcW w:w="3080" w:type="dxa"/>
            <w:vAlign w:val="bottom"/>
          </w:tcPr>
          <w:p>
            <w:pPr>
              <w:spacing w:after="0"/>
              <w:rPr>
                <w:sz w:val="24"/>
                <w:szCs w:val="24"/>
                <w:color w:val="auto"/>
              </w:rPr>
            </w:pPr>
          </w:p>
        </w:tc>
        <w:tc>
          <w:tcPr>
            <w:tcW w:w="6160" w:type="dxa"/>
            <w:vAlign w:val="bottom"/>
          </w:tcPr>
          <w:p>
            <w:pPr>
              <w:ind w:left="380"/>
              <w:spacing w:after="0"/>
              <w:rPr>
                <w:sz w:val="20"/>
                <w:szCs w:val="20"/>
                <w:color w:val="auto"/>
              </w:rPr>
            </w:pPr>
            <w:r>
              <w:rPr>
                <w:rFonts w:ascii="Arial" w:cs="Arial" w:eastAsia="Arial" w:hAnsi="Arial"/>
                <w:sz w:val="20"/>
                <w:szCs w:val="20"/>
                <w:i w:val="1"/>
                <w:iCs w:val="1"/>
                <w:color w:val="123054"/>
              </w:rPr>
              <w:t xml:space="preserve">•  </w:t>
            </w:r>
            <w:r>
              <w:rPr>
                <w:rFonts w:ascii="Arial" w:cs="Arial" w:eastAsia="Arial" w:hAnsi="Arial"/>
                <w:sz w:val="20"/>
                <w:szCs w:val="20"/>
                <w:i w:val="1"/>
                <w:iCs w:val="1"/>
                <w:color w:val="000000"/>
              </w:rPr>
              <w:t>Significant accounting, financial reporting, and executive</w:t>
            </w:r>
          </w:p>
        </w:tc>
        <w:tc>
          <w:tcPr>
            <w:tcW w:w="0" w:type="dxa"/>
            <w:vAlign w:val="bottom"/>
          </w:tcPr>
          <w:p>
            <w:pPr>
              <w:spacing w:after="0"/>
              <w:rPr>
                <w:sz w:val="1"/>
                <w:szCs w:val="1"/>
                <w:color w:val="auto"/>
              </w:rPr>
            </w:pPr>
          </w:p>
        </w:tc>
      </w:tr>
      <w:tr>
        <w:trPr>
          <w:trHeight w:val="197"/>
        </w:trPr>
        <w:tc>
          <w:tcPr>
            <w:tcW w:w="3080" w:type="dxa"/>
            <w:vAlign w:val="bottom"/>
          </w:tcPr>
          <w:p>
            <w:pPr>
              <w:spacing w:after="0"/>
              <w:rPr>
                <w:sz w:val="17"/>
                <w:szCs w:val="17"/>
                <w:color w:val="auto"/>
              </w:rPr>
            </w:pPr>
          </w:p>
        </w:tc>
        <w:tc>
          <w:tcPr>
            <w:tcW w:w="6160" w:type="dxa"/>
            <w:vAlign w:val="bottom"/>
          </w:tcPr>
          <w:p>
            <w:pPr>
              <w:ind w:left="620"/>
              <w:spacing w:after="0" w:line="197" w:lineRule="exact"/>
              <w:rPr>
                <w:sz w:val="20"/>
                <w:szCs w:val="20"/>
                <w:color w:val="auto"/>
              </w:rPr>
            </w:pPr>
            <w:r>
              <w:rPr>
                <w:rFonts w:ascii="Arial" w:cs="Arial" w:eastAsia="Arial" w:hAnsi="Arial"/>
                <w:sz w:val="20"/>
                <w:szCs w:val="20"/>
                <w:i w:val="1"/>
                <w:iCs w:val="1"/>
                <w:color w:val="auto"/>
              </w:rPr>
              <w:t>leadership experience, as well as valuable insights into risk</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6160" w:type="dxa"/>
            <w:vAlign w:val="bottom"/>
          </w:tcPr>
          <w:p>
            <w:pPr>
              <w:ind w:left="620"/>
              <w:spacing w:after="0" w:line="194" w:lineRule="exact"/>
              <w:rPr>
                <w:sz w:val="20"/>
                <w:szCs w:val="20"/>
                <w:color w:val="auto"/>
              </w:rPr>
            </w:pPr>
            <w:r>
              <w:rPr>
                <w:rFonts w:ascii="Arial" w:cs="Arial" w:eastAsia="Arial" w:hAnsi="Arial"/>
                <w:sz w:val="20"/>
                <w:szCs w:val="20"/>
                <w:i w:val="1"/>
                <w:iCs w:val="1"/>
                <w:color w:val="auto"/>
              </w:rPr>
              <w:t>and crisis management and oversight of publicly-traded,</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6160" w:type="dxa"/>
            <w:vAlign w:val="bottom"/>
          </w:tcPr>
          <w:p>
            <w:pPr>
              <w:ind w:left="620"/>
              <w:spacing w:after="0"/>
              <w:rPr>
                <w:sz w:val="20"/>
                <w:szCs w:val="20"/>
                <w:color w:val="auto"/>
              </w:rPr>
            </w:pPr>
            <w:r>
              <w:rPr>
                <w:rFonts w:ascii="Arial" w:cs="Arial" w:eastAsia="Arial" w:hAnsi="Arial"/>
                <w:sz w:val="20"/>
                <w:szCs w:val="20"/>
                <w:i w:val="1"/>
                <w:iCs w:val="1"/>
                <w:color w:val="auto"/>
              </w:rPr>
              <w:t>global businesses</w:t>
            </w:r>
          </w:p>
        </w:tc>
        <w:tc>
          <w:tcPr>
            <w:tcW w:w="0" w:type="dxa"/>
            <w:vAlign w:val="bottom"/>
          </w:tcPr>
          <w:p>
            <w:pPr>
              <w:spacing w:after="0"/>
              <w:rPr>
                <w:sz w:val="1"/>
                <w:szCs w:val="1"/>
                <w:color w:val="auto"/>
              </w:rPr>
            </w:pPr>
          </w:p>
        </w:tc>
      </w:tr>
      <w:tr>
        <w:trPr>
          <w:trHeight w:val="202"/>
        </w:trPr>
        <w:tc>
          <w:tcPr>
            <w:tcW w:w="3080" w:type="dxa"/>
            <w:vAlign w:val="bottom"/>
            <w:vMerge w:val="restart"/>
          </w:tcPr>
          <w:p>
            <w:pPr>
              <w:spacing w:after="0"/>
              <w:rPr>
                <w:sz w:val="20"/>
                <w:szCs w:val="20"/>
                <w:color w:val="auto"/>
              </w:rPr>
            </w:pPr>
            <w:r>
              <w:rPr>
                <w:rFonts w:ascii="Arial" w:cs="Arial" w:eastAsia="Arial" w:hAnsi="Arial"/>
                <w:sz w:val="20"/>
                <w:szCs w:val="20"/>
                <w:b w:val="1"/>
                <w:bCs w:val="1"/>
                <w:color w:val="123054"/>
              </w:rPr>
              <w:t>JEFFREY H. BLACK</w:t>
            </w:r>
          </w:p>
        </w:tc>
        <w:tc>
          <w:tcPr>
            <w:tcW w:w="6160" w:type="dxa"/>
            <w:vAlign w:val="bottom"/>
          </w:tcPr>
          <w:p>
            <w:pPr>
              <w:ind w:left="380"/>
              <w:spacing w:after="0" w:line="203" w:lineRule="exact"/>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i w:val="1"/>
                <w:iCs w:val="1"/>
                <w:color w:val="000000"/>
              </w:rPr>
              <w:t>Valuable experience in cyber and information governance</w:t>
            </w:r>
          </w:p>
        </w:tc>
        <w:tc>
          <w:tcPr>
            <w:tcW w:w="0" w:type="dxa"/>
            <w:vAlign w:val="bottom"/>
          </w:tcPr>
          <w:p>
            <w:pPr>
              <w:spacing w:after="0"/>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6160" w:type="dxa"/>
            <w:vAlign w:val="bottom"/>
          </w:tcPr>
          <w:p>
            <w:pPr>
              <w:ind w:left="620"/>
              <w:spacing w:after="0" w:line="197" w:lineRule="exact"/>
              <w:rPr>
                <w:sz w:val="20"/>
                <w:szCs w:val="20"/>
                <w:color w:val="auto"/>
              </w:rPr>
            </w:pPr>
            <w:r>
              <w:rPr>
                <w:rFonts w:ascii="Arial" w:cs="Arial" w:eastAsia="Arial" w:hAnsi="Arial"/>
                <w:sz w:val="20"/>
                <w:szCs w:val="20"/>
                <w:i w:val="1"/>
                <w:iCs w:val="1"/>
                <w:color w:val="auto"/>
              </w:rPr>
              <w:t>oversight and has earned a Computer Emergency Readiness</w:t>
            </w:r>
          </w:p>
        </w:tc>
        <w:tc>
          <w:tcPr>
            <w:tcW w:w="0" w:type="dxa"/>
            <w:vAlign w:val="bottom"/>
          </w:tcPr>
          <w:p>
            <w:pPr>
              <w:spacing w:after="0"/>
              <w:rPr>
                <w:sz w:val="1"/>
                <w:szCs w:val="1"/>
                <w:color w:val="auto"/>
              </w:rPr>
            </w:pPr>
          </w:p>
        </w:tc>
      </w:tr>
      <w:tr>
        <w:trPr>
          <w:trHeight w:val="194"/>
        </w:trPr>
        <w:tc>
          <w:tcPr>
            <w:tcW w:w="3080" w:type="dxa"/>
            <w:vAlign w:val="bottom"/>
            <w:vMerge w:val="restart"/>
          </w:tcPr>
          <w:p>
            <w:pPr>
              <w:ind w:left="40"/>
              <w:spacing w:after="0"/>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2022</w:t>
            </w:r>
          </w:p>
        </w:tc>
        <w:tc>
          <w:tcPr>
            <w:tcW w:w="6160" w:type="dxa"/>
            <w:vAlign w:val="bottom"/>
          </w:tcPr>
          <w:p>
            <w:pPr>
              <w:ind w:left="620"/>
              <w:spacing w:after="0" w:line="194" w:lineRule="exact"/>
              <w:rPr>
                <w:sz w:val="20"/>
                <w:szCs w:val="20"/>
                <w:color w:val="auto"/>
              </w:rPr>
            </w:pPr>
            <w:r>
              <w:rPr>
                <w:rFonts w:ascii="Arial" w:cs="Arial" w:eastAsia="Arial" w:hAnsi="Arial"/>
                <w:sz w:val="20"/>
                <w:szCs w:val="20"/>
                <w:i w:val="1"/>
                <w:iCs w:val="1"/>
                <w:color w:val="auto"/>
                <w:w w:val="97"/>
              </w:rPr>
              <w:t>Team (“CERT”) Certificate in Cybersecurity Oversight issued by</w:t>
            </w:r>
          </w:p>
        </w:tc>
        <w:tc>
          <w:tcPr>
            <w:tcW w:w="0" w:type="dxa"/>
            <w:vAlign w:val="bottom"/>
          </w:tcPr>
          <w:p>
            <w:pPr>
              <w:spacing w:after="0"/>
              <w:rPr>
                <w:sz w:val="1"/>
                <w:szCs w:val="1"/>
                <w:color w:val="auto"/>
              </w:rPr>
            </w:pPr>
          </w:p>
        </w:tc>
      </w:tr>
      <w:tr>
        <w:trPr>
          <w:trHeight w:val="119"/>
        </w:trPr>
        <w:tc>
          <w:tcPr>
            <w:tcW w:w="3080" w:type="dxa"/>
            <w:vAlign w:val="bottom"/>
            <w:vMerge w:val="continue"/>
          </w:tcPr>
          <w:p>
            <w:pPr>
              <w:spacing w:after="0"/>
              <w:rPr>
                <w:sz w:val="10"/>
                <w:szCs w:val="10"/>
                <w:color w:val="auto"/>
              </w:rPr>
            </w:pPr>
          </w:p>
        </w:tc>
        <w:tc>
          <w:tcPr>
            <w:tcW w:w="6160" w:type="dxa"/>
            <w:vAlign w:val="bottom"/>
            <w:vMerge w:val="restart"/>
          </w:tcPr>
          <w:p>
            <w:pPr>
              <w:ind w:left="620"/>
              <w:spacing w:after="0" w:line="203" w:lineRule="exact"/>
              <w:rPr>
                <w:sz w:val="20"/>
                <w:szCs w:val="20"/>
                <w:color w:val="auto"/>
              </w:rPr>
            </w:pPr>
            <w:r>
              <w:rPr>
                <w:rFonts w:ascii="Arial" w:cs="Arial" w:eastAsia="Arial" w:hAnsi="Arial"/>
                <w:sz w:val="20"/>
                <w:szCs w:val="20"/>
                <w:i w:val="1"/>
                <w:iCs w:val="1"/>
                <w:color w:val="auto"/>
              </w:rPr>
              <w:t>the CERT Division of the Software Engineering Institute at</w:t>
            </w:r>
          </w:p>
        </w:tc>
        <w:tc>
          <w:tcPr>
            <w:tcW w:w="0" w:type="dxa"/>
            <w:vAlign w:val="bottom"/>
          </w:tcPr>
          <w:p>
            <w:pPr>
              <w:spacing w:after="0"/>
              <w:rPr>
                <w:sz w:val="1"/>
                <w:szCs w:val="1"/>
                <w:color w:val="auto"/>
              </w:rPr>
            </w:pPr>
          </w:p>
        </w:tc>
      </w:tr>
      <w:tr>
        <w:trPr>
          <w:trHeight w:val="83"/>
        </w:trPr>
        <w:tc>
          <w:tcPr>
            <w:tcW w:w="30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70</w:t>
            </w: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6160" w:type="dxa"/>
            <w:vAlign w:val="bottom"/>
          </w:tcPr>
          <w:p>
            <w:pPr>
              <w:ind w:left="620"/>
              <w:spacing w:after="0" w:line="197" w:lineRule="exact"/>
              <w:rPr>
                <w:sz w:val="20"/>
                <w:szCs w:val="20"/>
                <w:color w:val="auto"/>
              </w:rPr>
            </w:pPr>
            <w:r>
              <w:rPr>
                <w:rFonts w:ascii="Arial" w:cs="Arial" w:eastAsia="Arial" w:hAnsi="Arial"/>
                <w:sz w:val="20"/>
                <w:szCs w:val="20"/>
                <w:i w:val="1"/>
                <w:iCs w:val="1"/>
                <w:color w:val="auto"/>
              </w:rPr>
              <w:t>Carnegie Mellon University, as well as the National</w:t>
            </w:r>
          </w:p>
        </w:tc>
        <w:tc>
          <w:tcPr>
            <w:tcW w:w="0" w:type="dxa"/>
            <w:vAlign w:val="bottom"/>
          </w:tcPr>
          <w:p>
            <w:pPr>
              <w:spacing w:after="0"/>
              <w:rPr>
                <w:sz w:val="1"/>
                <w:szCs w:val="1"/>
                <w:color w:val="auto"/>
              </w:rPr>
            </w:pPr>
          </w:p>
        </w:tc>
      </w:tr>
      <w:tr>
        <w:trPr>
          <w:trHeight w:val="229"/>
        </w:trPr>
        <w:tc>
          <w:tcPr>
            <w:tcW w:w="3080" w:type="dxa"/>
            <w:vAlign w:val="bottom"/>
          </w:tcPr>
          <w:p>
            <w:pPr>
              <w:ind w:left="40"/>
              <w:spacing w:after="0"/>
              <w:rPr>
                <w:sz w:val="20"/>
                <w:szCs w:val="20"/>
                <w:color w:val="auto"/>
              </w:rPr>
            </w:pPr>
            <w:r>
              <w:rPr>
                <w:rFonts w:ascii="Arial" w:cs="Arial" w:eastAsia="Arial" w:hAnsi="Arial"/>
                <w:sz w:val="20"/>
                <w:szCs w:val="20"/>
                <w:b w:val="1"/>
                <w:bCs w:val="1"/>
                <w:color w:val="auto"/>
              </w:rPr>
              <w:t>Committee:</w:t>
            </w:r>
          </w:p>
        </w:tc>
        <w:tc>
          <w:tcPr>
            <w:tcW w:w="6160" w:type="dxa"/>
            <w:vAlign w:val="bottom"/>
          </w:tcPr>
          <w:p>
            <w:pPr>
              <w:ind w:left="620"/>
              <w:spacing w:after="0"/>
              <w:rPr>
                <w:sz w:val="20"/>
                <w:szCs w:val="20"/>
                <w:color w:val="auto"/>
              </w:rPr>
            </w:pPr>
            <w:r>
              <w:rPr>
                <w:rFonts w:ascii="Arial" w:cs="Arial" w:eastAsia="Arial" w:hAnsi="Arial"/>
                <w:sz w:val="20"/>
                <w:szCs w:val="20"/>
                <w:i w:val="1"/>
                <w:iCs w:val="1"/>
                <w:color w:val="auto"/>
              </w:rPr>
              <w:t>Association of Corporate Directors master course in</w:t>
            </w:r>
          </w:p>
        </w:tc>
        <w:tc>
          <w:tcPr>
            <w:tcW w:w="0" w:type="dxa"/>
            <w:vAlign w:val="bottom"/>
          </w:tcPr>
          <w:p>
            <w:pPr>
              <w:spacing w:after="0"/>
              <w:rPr>
                <w:sz w:val="1"/>
                <w:szCs w:val="1"/>
                <w:color w:val="auto"/>
              </w:rPr>
            </w:pPr>
          </w:p>
        </w:tc>
      </w:tr>
      <w:tr>
        <w:trPr>
          <w:trHeight w:val="261"/>
        </w:trPr>
        <w:tc>
          <w:tcPr>
            <w:tcW w:w="3080" w:type="dxa"/>
            <w:vAlign w:val="bottom"/>
            <w:vMerge w:val="restart"/>
          </w:tcPr>
          <w:p>
            <w:pPr>
              <w:ind w:left="280"/>
              <w:spacing w:after="0"/>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color w:val="000000"/>
              </w:rPr>
              <w:t>Audit</w:t>
            </w:r>
          </w:p>
        </w:tc>
        <w:tc>
          <w:tcPr>
            <w:tcW w:w="6160" w:type="dxa"/>
            <w:vAlign w:val="bottom"/>
          </w:tcPr>
          <w:p>
            <w:pPr>
              <w:ind w:left="620"/>
              <w:spacing w:after="0"/>
              <w:rPr>
                <w:sz w:val="20"/>
                <w:szCs w:val="20"/>
                <w:color w:val="auto"/>
              </w:rPr>
            </w:pPr>
            <w:r>
              <w:rPr>
                <w:rFonts w:ascii="Arial" w:cs="Arial" w:eastAsia="Arial" w:hAnsi="Arial"/>
                <w:sz w:val="20"/>
                <w:szCs w:val="20"/>
                <w:i w:val="1"/>
                <w:iCs w:val="1"/>
                <w:color w:val="auto"/>
              </w:rPr>
              <w:t>Cybersecurity</w:t>
            </w:r>
          </w:p>
        </w:tc>
        <w:tc>
          <w:tcPr>
            <w:tcW w:w="0" w:type="dxa"/>
            <w:vAlign w:val="bottom"/>
          </w:tcPr>
          <w:p>
            <w:pPr>
              <w:spacing w:after="0"/>
              <w:rPr>
                <w:sz w:val="1"/>
                <w:szCs w:val="1"/>
                <w:color w:val="auto"/>
              </w:rPr>
            </w:pPr>
          </w:p>
        </w:tc>
      </w:tr>
      <w:tr>
        <w:trPr>
          <w:trHeight w:val="167"/>
        </w:trPr>
        <w:tc>
          <w:tcPr>
            <w:tcW w:w="3080" w:type="dxa"/>
            <w:vAlign w:val="bottom"/>
            <w:vMerge w:val="continue"/>
          </w:tcPr>
          <w:p>
            <w:pPr>
              <w:spacing w:after="0"/>
              <w:rPr>
                <w:sz w:val="14"/>
                <w:szCs w:val="14"/>
                <w:color w:val="auto"/>
              </w:rPr>
            </w:pPr>
          </w:p>
        </w:tc>
        <w:tc>
          <w:tcPr>
            <w:tcW w:w="6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080" w:type="dxa"/>
            <w:vAlign w:val="bottom"/>
          </w:tcPr>
          <w:p>
            <w:pPr>
              <w:spacing w:after="0"/>
              <w:rPr>
                <w:sz w:val="20"/>
                <w:szCs w:val="20"/>
                <w:color w:val="auto"/>
              </w:rPr>
            </w:pPr>
            <w:r>
              <w:rPr>
                <w:rFonts w:ascii="Arial" w:cs="Arial" w:eastAsia="Arial" w:hAnsi="Arial"/>
                <w:sz w:val="20"/>
                <w:szCs w:val="20"/>
                <w:b w:val="1"/>
                <w:bCs w:val="1"/>
                <w:color w:val="auto"/>
              </w:rPr>
              <w:t>Other Public Company</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0"/>
                <w:szCs w:val="20"/>
                <w:color w:val="auto"/>
              </w:rPr>
            </w:pPr>
            <w:r>
              <w:rPr>
                <w:rFonts w:ascii="Arial" w:cs="Arial" w:eastAsia="Arial" w:hAnsi="Arial"/>
                <w:sz w:val="20"/>
                <w:szCs w:val="20"/>
                <w:b w:val="1"/>
                <w:bCs w:val="1"/>
                <w:color w:val="auto"/>
              </w:rPr>
              <w:t>Directorships:</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6160" w:hanging="222"/>
        <w:spacing w:after="0" w:line="234" w:lineRule="auto"/>
        <w:tabs>
          <w:tab w:leader="none" w:pos="640" w:val="left"/>
        </w:tabs>
        <w:numPr>
          <w:ilvl w:val="0"/>
          <w:numId w:val="11"/>
        </w:numPr>
        <w:rPr>
          <w:rFonts w:ascii="Arial" w:cs="Arial" w:eastAsia="Arial" w:hAnsi="Arial"/>
          <w:sz w:val="19"/>
          <w:szCs w:val="19"/>
          <w:color w:val="123054"/>
        </w:rPr>
      </w:pPr>
      <w:r>
        <w:rPr>
          <w:rFonts w:ascii="Arial" w:cs="Arial" w:eastAsia="Arial" w:hAnsi="Arial"/>
          <w:sz w:val="19"/>
          <w:szCs w:val="19"/>
          <w:color w:val="auto"/>
        </w:rPr>
        <w:t>Otis Worldwide Corp. since 2020 (Chair, Audit Committee Member, Nominations and Governance Committee)</w:t>
      </w:r>
    </w:p>
    <w:p>
      <w:pPr>
        <w:spacing w:after="0" w:line="336" w:lineRule="exact"/>
        <w:rPr>
          <w:sz w:val="20"/>
          <w:szCs w:val="20"/>
          <w:color w:val="auto"/>
        </w:rPr>
      </w:pPr>
    </w:p>
    <w:p>
      <w:pPr>
        <w:ind w:left="3560" w:right="160"/>
        <w:spacing w:after="0" w:line="242" w:lineRule="auto"/>
        <w:rPr>
          <w:sz w:val="20"/>
          <w:szCs w:val="20"/>
          <w:color w:val="auto"/>
        </w:rPr>
      </w:pPr>
      <w:r>
        <w:rPr>
          <w:rFonts w:ascii="Arial" w:cs="Arial" w:eastAsia="Arial" w:hAnsi="Arial"/>
          <w:sz w:val="20"/>
          <w:szCs w:val="20"/>
          <w:b w:val="1"/>
          <w:bCs w:val="1"/>
          <w:i w:val="1"/>
          <w:iCs w:val="1"/>
          <w:color w:val="auto"/>
        </w:rPr>
        <w:t>Hali Borenstein</w:t>
      </w:r>
      <w:r>
        <w:rPr>
          <w:rFonts w:ascii="Arial" w:cs="Arial" w:eastAsia="Arial" w:hAnsi="Arial"/>
          <w:sz w:val="20"/>
          <w:szCs w:val="20"/>
          <w:color w:val="auto"/>
        </w:rPr>
        <w:t>is the Chief Executive Officer of Reformation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LLC, a women’s lifestyle brand focused on fashion and sustainability, a position she has held since June 2020. From December 2017 until June 2020, Ms. Borenstein was President of Reformation LLC, and from 2014 to 2017, Ms. Borenstein held various merchandising and design roles of increasing responsibility at Reformation LLC. Prior to joining Reformation</w:t>
      </w:r>
    </w:p>
    <w:p>
      <w:pPr>
        <w:sectPr>
          <w:pgSz w:w="11900" w:h="16873" w:orient="portrait"/>
          <w:cols w:equalWidth="0" w:num="1">
            <w:col w:w="9380"/>
          </w:cols>
          <w:pgMar w:left="1440" w:top="105" w:right="1079"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123054"/>
        </w:rPr>
        <w:t>HALI BORENSTEIN</w:t>
      </w:r>
    </w:p>
    <w:p>
      <w:pPr>
        <w:spacing w:after="0" w:line="83" w:lineRule="exact"/>
        <w:rPr>
          <w:sz w:val="20"/>
          <w:szCs w:val="20"/>
          <w:color w:val="auto"/>
        </w:rPr>
      </w:pPr>
    </w:p>
    <w:p>
      <w:pPr>
        <w:ind w:left="180"/>
        <w:spacing w:after="0" w:line="294"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2019</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40</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Committee:</w:t>
      </w:r>
    </w:p>
    <w:p>
      <w:pPr>
        <w:spacing w:after="0" w:line="114" w:lineRule="exact"/>
        <w:rPr>
          <w:sz w:val="20"/>
          <w:szCs w:val="20"/>
          <w:color w:val="auto"/>
        </w:rPr>
      </w:pPr>
    </w:p>
    <w:p>
      <w:pPr>
        <w:ind w:left="640" w:hanging="222"/>
        <w:spacing w:after="0"/>
        <w:tabs>
          <w:tab w:leader="none" w:pos="640" w:val="left"/>
        </w:tabs>
        <w:numPr>
          <w:ilvl w:val="0"/>
          <w:numId w:val="12"/>
        </w:numPr>
        <w:rPr>
          <w:rFonts w:ascii="Arial" w:cs="Arial" w:eastAsia="Arial" w:hAnsi="Arial"/>
          <w:sz w:val="20"/>
          <w:szCs w:val="20"/>
          <w:color w:val="123054"/>
        </w:rPr>
      </w:pPr>
      <w:r>
        <w:rPr>
          <w:rFonts w:ascii="Arial" w:cs="Arial" w:eastAsia="Arial" w:hAnsi="Arial"/>
          <w:sz w:val="20"/>
          <w:szCs w:val="20"/>
          <w:color w:val="auto"/>
        </w:rPr>
        <w:t>Business Transformation</w:t>
      </w:r>
    </w:p>
    <w:p>
      <w:pPr>
        <w:ind w:left="640" w:right="120" w:hanging="222"/>
        <w:spacing w:after="0" w:line="232" w:lineRule="auto"/>
        <w:tabs>
          <w:tab w:leader="none" w:pos="640" w:val="left"/>
        </w:tabs>
        <w:numPr>
          <w:ilvl w:val="0"/>
          <w:numId w:val="12"/>
        </w:numPr>
        <w:rPr>
          <w:rFonts w:ascii="Arial" w:cs="Arial" w:eastAsia="Arial" w:hAnsi="Arial"/>
          <w:sz w:val="20"/>
          <w:szCs w:val="20"/>
          <w:b w:val="1"/>
          <w:bCs w:val="1"/>
          <w:color w:val="123054"/>
        </w:rPr>
      </w:pPr>
      <w:r>
        <w:rPr>
          <w:rFonts w:ascii="Arial" w:cs="Arial" w:eastAsia="Arial" w:hAnsi="Arial"/>
          <w:sz w:val="20"/>
          <w:szCs w:val="20"/>
          <w:color w:val="auto"/>
        </w:rPr>
        <w:t>Nominating &amp; Corporate Governance</w:t>
      </w:r>
    </w:p>
    <w:p>
      <w:pPr>
        <w:spacing w:after="0" w:line="20" w:lineRule="exact"/>
        <w:rPr>
          <w:sz w:val="20"/>
          <w:szCs w:val="20"/>
          <w:color w:val="auto"/>
        </w:rPr>
      </w:pPr>
      <w:r>
        <w:rPr>
          <w:sz w:val="20"/>
          <w:szCs w:val="20"/>
          <w:color w:val="auto"/>
        </w:rPr>
        <w:br w:type="column"/>
      </w:r>
    </w:p>
    <w:p>
      <w:pPr>
        <w:ind w:right="300"/>
        <w:spacing w:after="0"/>
        <w:rPr>
          <w:sz w:val="20"/>
          <w:szCs w:val="20"/>
          <w:color w:val="auto"/>
        </w:rPr>
      </w:pPr>
      <w:r>
        <w:rPr>
          <w:rFonts w:ascii="Arial" w:cs="Arial" w:eastAsia="Arial" w:hAnsi="Arial"/>
          <w:sz w:val="19"/>
          <w:szCs w:val="19"/>
          <w:color w:val="auto"/>
        </w:rPr>
        <w:t>LLC, Ms. Borenstein was a senior merchandiser at Gymboree Group, Inc., and began her career at Bain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-254000</wp:posOffset>
            </wp:positionV>
            <wp:extent cx="6810375" cy="3139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31394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48" w:lineRule="exact"/>
        <w:rPr>
          <w:sz w:val="20"/>
          <w:szCs w:val="20"/>
          <w:color w:val="auto"/>
        </w:rPr>
      </w:pPr>
    </w:p>
    <w:p>
      <w:pPr>
        <w:ind w:left="360" w:right="340" w:hanging="327"/>
        <w:spacing w:after="0" w:line="241" w:lineRule="auto"/>
        <w:tabs>
          <w:tab w:leader="none" w:pos="360" w:val="left"/>
        </w:tabs>
        <w:numPr>
          <w:ilvl w:val="0"/>
          <w:numId w:val="13"/>
        </w:numPr>
        <w:rPr>
          <w:rFonts w:ascii="Arial" w:cs="Arial" w:eastAsia="Arial" w:hAnsi="Arial"/>
          <w:sz w:val="20"/>
          <w:szCs w:val="20"/>
          <w:color w:val="123054"/>
        </w:rPr>
      </w:pPr>
      <w:r>
        <w:rPr>
          <w:rFonts w:ascii="Arial" w:cs="Arial" w:eastAsia="Arial" w:hAnsi="Arial"/>
          <w:sz w:val="20"/>
          <w:szCs w:val="20"/>
          <w:i w:val="1"/>
          <w:iCs w:val="1"/>
          <w:color w:val="auto"/>
        </w:rPr>
        <w:t>Deep strategic and leadership experience in a consumer-focused retail apparel business</w:t>
      </w:r>
    </w:p>
    <w:p>
      <w:pPr>
        <w:spacing w:after="0" w:line="1" w:lineRule="exact"/>
        <w:rPr>
          <w:rFonts w:ascii="Arial" w:cs="Arial" w:eastAsia="Arial" w:hAnsi="Arial"/>
          <w:sz w:val="20"/>
          <w:szCs w:val="20"/>
          <w:color w:val="123054"/>
        </w:rPr>
      </w:pPr>
    </w:p>
    <w:p>
      <w:pPr>
        <w:ind w:left="360" w:right="540" w:hanging="327"/>
        <w:spacing w:after="0" w:line="232" w:lineRule="auto"/>
        <w:tabs>
          <w:tab w:leader="none" w:pos="360" w:val="left"/>
        </w:tabs>
        <w:numPr>
          <w:ilvl w:val="0"/>
          <w:numId w:val="13"/>
        </w:numPr>
        <w:rPr>
          <w:rFonts w:ascii="Arial" w:cs="Arial" w:eastAsia="Arial" w:hAnsi="Arial"/>
          <w:sz w:val="20"/>
          <w:szCs w:val="20"/>
          <w:color w:val="123054"/>
        </w:rPr>
      </w:pPr>
      <w:r>
        <w:rPr>
          <w:rFonts w:ascii="Arial" w:cs="Arial" w:eastAsia="Arial" w:hAnsi="Arial"/>
          <w:sz w:val="20"/>
          <w:szCs w:val="20"/>
          <w:i w:val="1"/>
          <w:iCs w:val="1"/>
          <w:color w:val="auto"/>
        </w:rPr>
        <w:t>Valuable perspective and insight in eCommerce, brand marketing, sustainability, and retail businesses</w:t>
      </w:r>
    </w:p>
    <w:p>
      <w:pPr>
        <w:ind w:left="360" w:right="1340" w:hanging="327"/>
        <w:spacing w:after="0" w:line="225" w:lineRule="auto"/>
        <w:tabs>
          <w:tab w:leader="none" w:pos="360" w:val="left"/>
        </w:tabs>
        <w:numPr>
          <w:ilvl w:val="0"/>
          <w:numId w:val="13"/>
        </w:numPr>
        <w:rPr>
          <w:rFonts w:ascii="Arial" w:cs="Arial" w:eastAsia="Arial" w:hAnsi="Arial"/>
          <w:sz w:val="20"/>
          <w:szCs w:val="20"/>
          <w:color w:val="123054"/>
        </w:rPr>
      </w:pPr>
      <w:r>
        <w:rPr>
          <w:rFonts w:ascii="Arial" w:cs="Arial" w:eastAsia="Arial" w:hAnsi="Arial"/>
          <w:sz w:val="20"/>
          <w:szCs w:val="20"/>
          <w:i w:val="1"/>
          <w:iCs w:val="1"/>
          <w:color w:val="auto"/>
        </w:rPr>
        <w:t>Expansive expertise in apparel marketing and merchandising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401320</wp:posOffset>
            </wp:positionV>
            <wp:extent cx="6810375" cy="7294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7294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660"/>
            <w:col w:w="5700"/>
          </w:cols>
          <w:pgMar w:left="1440" w:top="10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123054"/>
        </w:rPr>
        <w:t>LUIS BORGEN</w:t>
      </w:r>
    </w:p>
    <w:p>
      <w:pPr>
        <w:spacing w:after="0" w:line="83" w:lineRule="exact"/>
        <w:rPr>
          <w:sz w:val="20"/>
          <w:szCs w:val="20"/>
          <w:color w:val="auto"/>
        </w:rPr>
      </w:pPr>
    </w:p>
    <w:p>
      <w:pPr>
        <w:ind w:left="280" w:right="100"/>
        <w:spacing w:after="0" w:line="294"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2021</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55</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Committees:</w:t>
      </w:r>
    </w:p>
    <w:p>
      <w:pPr>
        <w:spacing w:after="0" w:line="127" w:lineRule="exact"/>
        <w:rPr>
          <w:sz w:val="20"/>
          <w:szCs w:val="20"/>
          <w:color w:val="auto"/>
        </w:rPr>
      </w:pPr>
    </w:p>
    <w:p>
      <w:pPr>
        <w:ind w:left="760" w:hanging="238"/>
        <w:spacing w:after="0"/>
        <w:tabs>
          <w:tab w:leader="none" w:pos="760" w:val="left"/>
        </w:tabs>
        <w:numPr>
          <w:ilvl w:val="0"/>
          <w:numId w:val="14"/>
        </w:numPr>
        <w:rPr>
          <w:rFonts w:ascii="Arial" w:cs="Arial" w:eastAsia="Arial" w:hAnsi="Arial"/>
          <w:sz w:val="20"/>
          <w:szCs w:val="20"/>
          <w:color w:val="123054"/>
        </w:rPr>
      </w:pPr>
      <w:r>
        <w:rPr>
          <w:rFonts w:ascii="Arial" w:cs="Arial" w:eastAsia="Arial" w:hAnsi="Arial"/>
          <w:sz w:val="20"/>
          <w:szCs w:val="20"/>
          <w:color w:val="auto"/>
        </w:rPr>
        <w:t>Audit</w:t>
      </w:r>
    </w:p>
    <w:p>
      <w:pPr>
        <w:ind w:left="760" w:right="200" w:hanging="238"/>
        <w:spacing w:after="0" w:line="225" w:lineRule="auto"/>
        <w:tabs>
          <w:tab w:leader="none" w:pos="760" w:val="left"/>
        </w:tabs>
        <w:numPr>
          <w:ilvl w:val="0"/>
          <w:numId w:val="14"/>
        </w:numPr>
        <w:rPr>
          <w:rFonts w:ascii="Arial" w:cs="Arial" w:eastAsia="Arial" w:hAnsi="Arial"/>
          <w:sz w:val="20"/>
          <w:szCs w:val="20"/>
          <w:color w:val="123054"/>
        </w:rPr>
      </w:pPr>
      <w:r>
        <w:rPr>
          <w:rFonts w:ascii="Arial" w:cs="Arial" w:eastAsia="Arial" w:hAnsi="Arial"/>
          <w:sz w:val="20"/>
          <w:szCs w:val="20"/>
          <w:color w:val="auto"/>
        </w:rPr>
        <w:t>Compensation &amp; Human Capital</w:t>
      </w:r>
    </w:p>
    <w:p>
      <w:pPr>
        <w:spacing w:after="0" w:line="143" w:lineRule="exact"/>
        <w:rPr>
          <w:sz w:val="20"/>
          <w:szCs w:val="20"/>
          <w:color w:val="auto"/>
        </w:rPr>
      </w:pPr>
    </w:p>
    <w:p>
      <w:pPr>
        <w:ind w:left="240" w:right="740"/>
        <w:spacing w:after="0" w:line="267" w:lineRule="auto"/>
        <w:rPr>
          <w:sz w:val="20"/>
          <w:szCs w:val="20"/>
          <w:color w:val="auto"/>
        </w:rPr>
      </w:pPr>
      <w:r>
        <w:rPr>
          <w:rFonts w:ascii="Arial" w:cs="Arial" w:eastAsia="Arial" w:hAnsi="Arial"/>
          <w:sz w:val="19"/>
          <w:szCs w:val="19"/>
          <w:b w:val="1"/>
          <w:bCs w:val="1"/>
          <w:color w:val="auto"/>
        </w:rPr>
        <w:t>Other Public Company Directorships:</w:t>
      </w:r>
    </w:p>
    <w:p>
      <w:pPr>
        <w:spacing w:after="0" w:line="110" w:lineRule="exact"/>
        <w:rPr>
          <w:sz w:val="20"/>
          <w:szCs w:val="20"/>
          <w:color w:val="auto"/>
        </w:rPr>
      </w:pPr>
    </w:p>
    <w:p>
      <w:pPr>
        <w:ind w:left="760" w:right="80" w:hanging="238"/>
        <w:spacing w:after="0" w:line="213" w:lineRule="auto"/>
        <w:tabs>
          <w:tab w:leader="none" w:pos="760" w:val="left"/>
        </w:tabs>
        <w:numPr>
          <w:ilvl w:val="0"/>
          <w:numId w:val="15"/>
        </w:numPr>
        <w:rPr>
          <w:rFonts w:ascii="Arial" w:cs="Arial" w:eastAsia="Arial" w:hAnsi="Arial"/>
          <w:sz w:val="20"/>
          <w:szCs w:val="20"/>
          <w:color w:val="123054"/>
        </w:rPr>
      </w:pPr>
      <w:r>
        <w:rPr>
          <w:rFonts w:ascii="Arial" w:cs="Arial" w:eastAsia="Arial" w:hAnsi="Arial"/>
          <w:sz w:val="20"/>
          <w:szCs w:val="20"/>
          <w:color w:val="auto"/>
        </w:rPr>
        <w:t>Eastern Bankshares, Inc., since 2016</w:t>
      </w:r>
    </w:p>
    <w:p>
      <w:pPr>
        <w:spacing w:after="0" w:line="1" w:lineRule="exact"/>
        <w:rPr>
          <w:rFonts w:ascii="Arial" w:cs="Arial" w:eastAsia="Arial" w:hAnsi="Arial"/>
          <w:sz w:val="20"/>
          <w:szCs w:val="20"/>
          <w:color w:val="123054"/>
        </w:rPr>
      </w:pPr>
    </w:p>
    <w:p>
      <w:pPr>
        <w:ind w:left="760" w:hanging="238"/>
        <w:spacing w:after="0"/>
        <w:tabs>
          <w:tab w:leader="none" w:pos="760" w:val="left"/>
        </w:tabs>
        <w:numPr>
          <w:ilvl w:val="0"/>
          <w:numId w:val="15"/>
        </w:numPr>
        <w:rPr>
          <w:rFonts w:ascii="Arial" w:cs="Arial" w:eastAsia="Arial" w:hAnsi="Arial"/>
          <w:sz w:val="19"/>
          <w:szCs w:val="19"/>
          <w:color w:val="123054"/>
        </w:rPr>
      </w:pPr>
      <w:r>
        <w:rPr>
          <w:rFonts w:ascii="Arial" w:cs="Arial" w:eastAsia="Arial" w:hAnsi="Arial"/>
          <w:sz w:val="19"/>
          <w:szCs w:val="19"/>
          <w:color w:val="auto"/>
        </w:rPr>
        <w:t>Synopsys, Inc., since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Luis Borgen</w:t>
      </w:r>
      <w:r>
        <w:rPr>
          <w:rFonts w:ascii="Arial" w:cs="Arial" w:eastAsia="Arial" w:hAnsi="Arial"/>
          <w:sz w:val="20"/>
          <w:szCs w:val="20"/>
          <w:color w:val="auto"/>
        </w:rPr>
        <w:t>has over 25 years of finance and operational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experience at various public and private equity-backed companies. He was the Chief Financial Officer of athenahealth, Inc., a healthcare technology company from 2019 to 2022. Prior to that, he was Chief Financial Officer for Vistaprint, an e-commerce company that produces marketing products for small and microcap businesses, from 2017 to 2019. Prior to that, he served from 2012 to 2017 as Chief Financial Officer for DAVIDsTEA Inc., a specialty tea retailer in the United States and Canada that became publicly-traded in 2015, and from 2010 to 2012 he served as Chief Financial Officer of DaVita Inc. (“DaVita”), a publicly traded healthcare provider. Prior to DaVita, Mr. Borgen spent 13 years at Staples, Inc. culminating in his role as Senior Vice President Finance and Chief Financial Officer for the U.S. Retail division. Mr. Borgen began his career as an officer in the U.S. Air Force.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31" w:lineRule="exact"/>
        <w:rPr>
          <w:sz w:val="20"/>
          <w:szCs w:val="20"/>
          <w:color w:val="auto"/>
        </w:rPr>
      </w:pPr>
    </w:p>
    <w:p>
      <w:pPr>
        <w:ind w:left="400" w:right="240" w:hanging="398"/>
        <w:spacing w:after="0" w:line="259" w:lineRule="auto"/>
        <w:tabs>
          <w:tab w:leader="none" w:pos="400" w:val="left"/>
        </w:tabs>
        <w:numPr>
          <w:ilvl w:val="0"/>
          <w:numId w:val="16"/>
        </w:numPr>
        <w:rPr>
          <w:rFonts w:ascii="Arial" w:cs="Arial" w:eastAsia="Arial" w:hAnsi="Arial"/>
          <w:sz w:val="19"/>
          <w:szCs w:val="19"/>
          <w:i w:val="1"/>
          <w:iCs w:val="1"/>
          <w:color w:val="auto"/>
        </w:rPr>
      </w:pPr>
      <w:r>
        <w:rPr>
          <w:rFonts w:ascii="Arial" w:cs="Arial" w:eastAsia="Arial" w:hAnsi="Arial"/>
          <w:sz w:val="19"/>
          <w:szCs w:val="19"/>
          <w:i w:val="1"/>
          <w:iCs w:val="1"/>
          <w:color w:val="auto"/>
        </w:rPr>
        <w:t>Broad experience in finance, accounting, capital markets, investor relations, M&amp;A and international expansion</w:t>
      </w:r>
    </w:p>
    <w:p>
      <w:pPr>
        <w:ind w:left="400" w:right="760" w:hanging="398"/>
        <w:spacing w:after="0" w:line="248" w:lineRule="auto"/>
        <w:tabs>
          <w:tab w:leader="none" w:pos="400" w:val="left"/>
        </w:tabs>
        <w:numPr>
          <w:ilvl w:val="0"/>
          <w:numId w:val="16"/>
        </w:numPr>
        <w:rPr>
          <w:rFonts w:ascii="Arial" w:cs="Arial" w:eastAsia="Arial" w:hAnsi="Arial"/>
          <w:sz w:val="20"/>
          <w:szCs w:val="20"/>
          <w:i w:val="1"/>
          <w:iCs w:val="1"/>
          <w:color w:val="auto"/>
        </w:rPr>
      </w:pPr>
      <w:r>
        <w:rPr>
          <w:rFonts w:ascii="Arial" w:cs="Arial" w:eastAsia="Arial" w:hAnsi="Arial"/>
          <w:sz w:val="20"/>
          <w:szCs w:val="20"/>
          <w:i w:val="1"/>
          <w:iCs w:val="1"/>
          <w:color w:val="auto"/>
        </w:rPr>
        <w:t>Meaningful experience in the oversight of executive compensation, risk management, and corporate governance</w:t>
      </w:r>
    </w:p>
    <w:p>
      <w:pPr>
        <w:spacing w:after="0" w:line="2" w:lineRule="exact"/>
        <w:rPr>
          <w:rFonts w:ascii="Arial" w:cs="Arial" w:eastAsia="Arial" w:hAnsi="Arial"/>
          <w:sz w:val="20"/>
          <w:szCs w:val="20"/>
          <w:i w:val="1"/>
          <w:iCs w:val="1"/>
          <w:color w:val="auto"/>
        </w:rPr>
      </w:pPr>
    </w:p>
    <w:p>
      <w:pPr>
        <w:ind w:left="400" w:right="160" w:hanging="398"/>
        <w:spacing w:after="0" w:line="267" w:lineRule="auto"/>
        <w:tabs>
          <w:tab w:leader="none" w:pos="400" w:val="left"/>
        </w:tabs>
        <w:numPr>
          <w:ilvl w:val="0"/>
          <w:numId w:val="16"/>
        </w:numPr>
        <w:rPr>
          <w:rFonts w:ascii="Arial" w:cs="Arial" w:eastAsia="Arial" w:hAnsi="Arial"/>
          <w:sz w:val="20"/>
          <w:szCs w:val="20"/>
          <w:i w:val="1"/>
          <w:iCs w:val="1"/>
          <w:color w:val="auto"/>
        </w:rPr>
      </w:pPr>
      <w:r>
        <w:rPr>
          <w:rFonts w:ascii="Arial" w:cs="Arial" w:eastAsia="Arial" w:hAnsi="Arial"/>
          <w:sz w:val="20"/>
          <w:szCs w:val="20"/>
          <w:i w:val="1"/>
          <w:iCs w:val="1"/>
          <w:color w:val="auto"/>
        </w:rPr>
        <w:t>Substantial operational experience in retail and consumer-focused businesses</w:t>
      </w:r>
    </w:p>
    <w:p>
      <w:pPr>
        <w:sectPr>
          <w:pgSz w:w="11900" w:h="16838" w:orient="portrait"/>
          <w:cols w:equalWidth="0" w:num="2">
            <w:col w:w="3100" w:space="500"/>
            <w:col w:w="5660"/>
          </w:cols>
          <w:pgMar w:left="1440" w:top="104" w:right="11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562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1562100"/>
                    </a:xfrm>
                    <a:prstGeom prst="rect">
                      <a:avLst/>
                    </a:prstGeom>
                    <a:noFill/>
                  </pic:spPr>
                </pic:pic>
              </a:graphicData>
            </a:graphic>
          </wp:anchor>
        </w:drawing>
      </w: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300"/>
          </w:cols>
          <w:pgMar w:left="1440" w:top="1440" w:right="1159"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123054"/>
        </w:rPr>
        <w:t>JEVIN S. EAGLE</w:t>
      </w:r>
    </w:p>
    <w:p>
      <w:pPr>
        <w:spacing w:after="0" w:line="83" w:lineRule="exact"/>
        <w:rPr>
          <w:sz w:val="20"/>
          <w:szCs w:val="20"/>
          <w:color w:val="auto"/>
        </w:rPr>
      </w:pPr>
    </w:p>
    <w:p>
      <w:pPr>
        <w:ind w:left="280"/>
        <w:spacing w:after="0" w:line="294"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2010</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Committee:</w:t>
      </w:r>
    </w:p>
    <w:p>
      <w:pPr>
        <w:spacing w:after="0" w:line="137" w:lineRule="exact"/>
        <w:rPr>
          <w:sz w:val="20"/>
          <w:szCs w:val="20"/>
          <w:color w:val="auto"/>
        </w:rPr>
      </w:pPr>
    </w:p>
    <w:p>
      <w:pPr>
        <w:ind w:left="760" w:right="100" w:hanging="238"/>
        <w:spacing w:after="0" w:line="234" w:lineRule="auto"/>
        <w:tabs>
          <w:tab w:leader="none" w:pos="760" w:val="left"/>
        </w:tabs>
        <w:numPr>
          <w:ilvl w:val="0"/>
          <w:numId w:val="17"/>
        </w:numPr>
        <w:rPr>
          <w:rFonts w:ascii="Arial" w:cs="Arial" w:eastAsia="Arial" w:hAnsi="Arial"/>
          <w:sz w:val="20"/>
          <w:szCs w:val="20"/>
          <w:color w:val="123054"/>
        </w:rPr>
      </w:pPr>
      <w:r>
        <w:rPr>
          <w:rFonts w:ascii="Arial" w:cs="Arial" w:eastAsia="Arial" w:hAnsi="Arial"/>
          <w:sz w:val="20"/>
          <w:szCs w:val="20"/>
          <w:color w:val="auto"/>
        </w:rPr>
        <w:t>Compensation &amp; Human Capital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i w:val="1"/>
          <w:iCs w:val="1"/>
          <w:color w:val="auto"/>
        </w:rPr>
        <w:t>Jevin S. Eagle</w:t>
      </w:r>
      <w:r>
        <w:rPr>
          <w:rFonts w:ascii="Arial" w:cs="Arial" w:eastAsia="Arial" w:hAnsi="Arial"/>
          <w:sz w:val="20"/>
          <w:szCs w:val="20"/>
          <w:color w:val="auto"/>
        </w:rPr>
        <w:t>has served as Professor of the Practice, Strategy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Innovation, and Executive Director of Social Impact Initiatives for Boston University’s Questrom School of Business since September 2022, and as Chief Executive Officer of Boston University Hillel since 2017. Mr. Eagle served as Chief Executive Officer and director of DAVIDsTEA Inc., a specialty tea retailer in the United States and Canada, from April 2012 to April 2014. Mr. Eagle previously held several senior leadership positions at Staples, Inc. from 2002 to 2012, including Executive Vice President, Merchandising and Marketing. Prior to joining Staples, Inc., Mr. Eagle worked for McKinsey &amp; Company, Inc. from 1994 to 2001, ultimately serving as a partner in the firm’s retail practice.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62" w:lineRule="exact"/>
        <w:rPr>
          <w:sz w:val="20"/>
          <w:szCs w:val="20"/>
          <w:color w:val="auto"/>
        </w:rPr>
      </w:pPr>
    </w:p>
    <w:p>
      <w:pPr>
        <w:ind w:left="360" w:right="120" w:hanging="317"/>
        <w:spacing w:after="0" w:line="232" w:lineRule="auto"/>
        <w:tabs>
          <w:tab w:leader="none" w:pos="360" w:val="left"/>
        </w:tabs>
        <w:numPr>
          <w:ilvl w:val="0"/>
          <w:numId w:val="18"/>
        </w:numPr>
        <w:rPr>
          <w:rFonts w:ascii="Arial" w:cs="Arial" w:eastAsia="Arial" w:hAnsi="Arial"/>
          <w:sz w:val="19"/>
          <w:szCs w:val="19"/>
          <w:color w:val="123054"/>
        </w:rPr>
      </w:pPr>
      <w:r>
        <w:rPr>
          <w:rFonts w:ascii="Arial" w:cs="Arial" w:eastAsia="Arial" w:hAnsi="Arial"/>
          <w:sz w:val="19"/>
          <w:szCs w:val="19"/>
          <w:i w:val="1"/>
          <w:iCs w:val="1"/>
          <w:color w:val="auto"/>
        </w:rPr>
        <w:t>Broad experience in a number of areas as the former Chief Executive Officer and director of DAVIDsTEA Inc. and Executive Vice President, Merchandising and Marketing of Staples, Inc., including retail, management, merchandising, sourcing, strategic planning, and brand marketing</w:t>
      </w:r>
    </w:p>
    <w:p>
      <w:pPr>
        <w:spacing w:after="0" w:line="1" w:lineRule="exact"/>
        <w:rPr>
          <w:rFonts w:ascii="Arial" w:cs="Arial" w:eastAsia="Arial" w:hAnsi="Arial"/>
          <w:sz w:val="19"/>
          <w:szCs w:val="19"/>
          <w:color w:val="123054"/>
        </w:rPr>
      </w:pPr>
    </w:p>
    <w:p>
      <w:pPr>
        <w:ind w:left="360" w:right="360" w:hanging="317"/>
        <w:spacing w:after="0" w:line="224" w:lineRule="auto"/>
        <w:tabs>
          <w:tab w:leader="none" w:pos="360" w:val="left"/>
        </w:tabs>
        <w:numPr>
          <w:ilvl w:val="0"/>
          <w:numId w:val="18"/>
        </w:numPr>
        <w:rPr>
          <w:rFonts w:ascii="Arial" w:cs="Arial" w:eastAsia="Arial" w:hAnsi="Arial"/>
          <w:sz w:val="19"/>
          <w:szCs w:val="19"/>
          <w:color w:val="123054"/>
        </w:rPr>
      </w:pPr>
      <w:r>
        <w:rPr>
          <w:rFonts w:ascii="Arial" w:cs="Arial" w:eastAsia="Arial" w:hAnsi="Arial"/>
          <w:sz w:val="19"/>
          <w:szCs w:val="19"/>
          <w:i w:val="1"/>
          <w:iCs w:val="1"/>
          <w:color w:val="auto"/>
        </w:rPr>
        <w:t>Valuable experience with developing strategies and programs for teaching social impact business education, including matters relating to environmental, social, and governance (“ESG” through his role as Professor and Executive Director of Social Impact Initiatives for Boston University's Questrom School of Business</w:t>
      </w:r>
    </w:p>
    <w:p>
      <w:pPr>
        <w:spacing w:after="0" w:line="4" w:lineRule="exact"/>
        <w:rPr>
          <w:rFonts w:ascii="Arial" w:cs="Arial" w:eastAsia="Arial" w:hAnsi="Arial"/>
          <w:sz w:val="19"/>
          <w:szCs w:val="19"/>
          <w:color w:val="123054"/>
        </w:rPr>
      </w:pPr>
    </w:p>
    <w:p>
      <w:pPr>
        <w:ind w:left="360" w:right="300" w:hanging="317"/>
        <w:spacing w:after="0" w:line="232" w:lineRule="auto"/>
        <w:tabs>
          <w:tab w:leader="none" w:pos="360" w:val="left"/>
        </w:tabs>
        <w:numPr>
          <w:ilvl w:val="0"/>
          <w:numId w:val="18"/>
        </w:numPr>
        <w:rPr>
          <w:rFonts w:ascii="Arial" w:cs="Arial" w:eastAsia="Arial" w:hAnsi="Arial"/>
          <w:sz w:val="20"/>
          <w:szCs w:val="20"/>
          <w:color w:val="123054"/>
        </w:rPr>
      </w:pPr>
      <w:r>
        <w:rPr>
          <w:rFonts w:ascii="Arial" w:cs="Arial" w:eastAsia="Arial" w:hAnsi="Arial"/>
          <w:sz w:val="20"/>
          <w:szCs w:val="20"/>
          <w:i w:val="1"/>
          <w:iCs w:val="1"/>
          <w:color w:val="auto"/>
        </w:rPr>
        <w:t>Meaningful experience in business strategy and the retail industry provides our Board with critical insights</w:t>
      </w:r>
    </w:p>
    <w:p>
      <w:pPr>
        <w:spacing w:after="0" w:line="200" w:lineRule="exact"/>
        <w:rPr>
          <w:sz w:val="20"/>
          <w:szCs w:val="20"/>
          <w:color w:val="auto"/>
        </w:rPr>
      </w:pPr>
    </w:p>
    <w:p>
      <w:pPr>
        <w:sectPr>
          <w:pgSz w:w="11900" w:h="16838" w:orient="portrait"/>
          <w:cols w:equalWidth="0" w:num="2">
            <w:col w:w="3000" w:space="640"/>
            <w:col w:w="5660"/>
          </w:cols>
          <w:pgMar w:left="1440" w:top="1440" w:right="1159"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300"/>
          </w:cols>
          <w:pgMar w:left="1440" w:top="1440" w:right="1159" w:bottom="95" w:gutter="0" w:footer="0" w:header="0"/>
          <w:type w:val="continuous"/>
        </w:sectPr>
      </w:pPr>
    </w:p>
    <w:bookmarkStart w:id="11" w:name="page12"/>
    <w:bookmarkEnd w:id="1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865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886587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
        </w:trPr>
        <w:tc>
          <w:tcPr>
            <w:tcW w:w="420" w:type="dxa"/>
            <w:vAlign w:val="bottom"/>
            <w:shd w:val="clear" w:color="auto" w:fill="123054"/>
          </w:tcPr>
          <w:p>
            <w:pPr>
              <w:spacing w:after="0" w:line="20" w:lineRule="exact"/>
              <w:rPr>
                <w:sz w:val="1"/>
                <w:szCs w:val="1"/>
                <w:color w:val="auto"/>
              </w:rPr>
            </w:pPr>
          </w:p>
        </w:tc>
        <w:tc>
          <w:tcPr>
            <w:tcW w:w="2660" w:type="dxa"/>
            <w:vAlign w:val="bottom"/>
            <w:tcBorders>
              <w:right w:val="single" w:sz="8" w:color="123054"/>
            </w:tcBorders>
            <w:shd w:val="clear" w:color="auto" w:fill="123054"/>
          </w:tcPr>
          <w:p>
            <w:pPr>
              <w:spacing w:after="0" w:line="20" w:lineRule="exact"/>
              <w:rPr>
                <w:sz w:val="1"/>
                <w:szCs w:val="1"/>
                <w:color w:val="auto"/>
              </w:rPr>
            </w:pPr>
          </w:p>
        </w:tc>
        <w:tc>
          <w:tcPr>
            <w:tcW w:w="5500" w:type="dxa"/>
            <w:vAlign w:val="bottom"/>
            <w:shd w:val="clear" w:color="auto" w:fill="12305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20" w:type="dxa"/>
            <w:vAlign w:val="bottom"/>
          </w:tcPr>
          <w:p>
            <w:pPr>
              <w:spacing w:after="0"/>
              <w:rPr>
                <w:sz w:val="24"/>
                <w:szCs w:val="24"/>
                <w:color w:val="auto"/>
              </w:rPr>
            </w:pPr>
          </w:p>
        </w:tc>
        <w:tc>
          <w:tcPr>
            <w:tcW w:w="2660" w:type="dxa"/>
            <w:vAlign w:val="bottom"/>
            <w:tcBorders>
              <w:right w:val="single" w:sz="8" w:color="123054"/>
            </w:tcBorders>
          </w:tcPr>
          <w:p>
            <w:pPr>
              <w:spacing w:after="0"/>
              <w:rPr>
                <w:sz w:val="24"/>
                <w:szCs w:val="24"/>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b w:val="1"/>
                <w:bCs w:val="1"/>
                <w:i w:val="1"/>
                <w:iCs w:val="1"/>
                <w:color w:val="auto"/>
              </w:rPr>
              <w:t>Mark P. Hipp</w:t>
            </w:r>
            <w:r>
              <w:rPr>
                <w:rFonts w:ascii="Arial" w:cs="Arial" w:eastAsia="Arial" w:hAnsi="Arial"/>
                <w:sz w:val="20"/>
                <w:szCs w:val="20"/>
                <w:color w:val="auto"/>
              </w:rPr>
              <w:t>has been the Chief Executive Officer of H2IDD,</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660" w:type="dxa"/>
            <w:vAlign w:val="bottom"/>
            <w:tcBorders>
              <w:right w:val="single" w:sz="8" w:color="123054"/>
            </w:tcBorders>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color w:val="auto"/>
              </w:rPr>
              <w:t>an advisory firm focused on public and private mergers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60" w:type="dxa"/>
            <w:vAlign w:val="bottom"/>
            <w:tcBorders>
              <w:right w:val="single" w:sz="8" w:color="123054"/>
            </w:tcBorders>
          </w:tcPr>
          <w:p>
            <w:pPr>
              <w:spacing w:after="0"/>
              <w:rPr>
                <w:sz w:val="18"/>
                <w:szCs w:val="18"/>
                <w:color w:val="auto"/>
              </w:rPr>
            </w:pPr>
          </w:p>
        </w:tc>
        <w:tc>
          <w:tcPr>
            <w:tcW w:w="5860" w:type="dxa"/>
            <w:vAlign w:val="bottom"/>
            <w:gridSpan w:val="2"/>
          </w:tcPr>
          <w:p>
            <w:pPr>
              <w:ind w:left="320"/>
              <w:spacing w:after="0" w:line="216" w:lineRule="exact"/>
              <w:rPr>
                <w:sz w:val="20"/>
                <w:szCs w:val="20"/>
                <w:color w:val="auto"/>
              </w:rPr>
            </w:pPr>
            <w:r>
              <w:rPr>
                <w:rFonts w:ascii="Arial" w:cs="Arial" w:eastAsia="Arial" w:hAnsi="Arial"/>
                <w:sz w:val="20"/>
                <w:szCs w:val="20"/>
                <w:color w:val="auto"/>
              </w:rPr>
              <w:t>acquisitions since January 2013. From November 2013 until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660" w:type="dxa"/>
            <w:vAlign w:val="bottom"/>
            <w:tcBorders>
              <w:right w:val="single" w:sz="8" w:color="123054"/>
            </w:tcBorders>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color w:val="auto"/>
              </w:rPr>
              <w:t>April 2017, Mr. Hipp was the operating partner at Sterling</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660" w:type="dxa"/>
            <w:vAlign w:val="bottom"/>
            <w:tcBorders>
              <w:right w:val="single" w:sz="8" w:color="123054"/>
            </w:tcBorders>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color w:val="auto"/>
              </w:rPr>
              <w:t>Partners, a private equity firm. Prior to that, he spent over 28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660" w:type="dxa"/>
            <w:vAlign w:val="bottom"/>
            <w:tcBorders>
              <w:right w:val="single" w:sz="8" w:color="123054"/>
            </w:tcBorders>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color w:val="auto"/>
              </w:rPr>
              <w:t>years at Hewlett Packard Enterprise Company, most recently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60" w:type="dxa"/>
            <w:vAlign w:val="bottom"/>
            <w:tcBorders>
              <w:right w:val="single" w:sz="8" w:color="123054"/>
            </w:tcBorders>
          </w:tcPr>
          <w:p>
            <w:pPr>
              <w:spacing w:after="0"/>
              <w:rPr>
                <w:sz w:val="18"/>
                <w:szCs w:val="18"/>
                <w:color w:val="auto"/>
              </w:rPr>
            </w:pPr>
          </w:p>
        </w:tc>
        <w:tc>
          <w:tcPr>
            <w:tcW w:w="5860" w:type="dxa"/>
            <w:vAlign w:val="bottom"/>
            <w:gridSpan w:val="2"/>
          </w:tcPr>
          <w:p>
            <w:pPr>
              <w:ind w:left="320"/>
              <w:spacing w:after="0" w:line="216" w:lineRule="exact"/>
              <w:rPr>
                <w:sz w:val="20"/>
                <w:szCs w:val="20"/>
                <w:color w:val="auto"/>
              </w:rPr>
            </w:pPr>
            <w:r>
              <w:rPr>
                <w:rFonts w:ascii="Arial" w:cs="Arial" w:eastAsia="Arial" w:hAnsi="Arial"/>
                <w:sz w:val="20"/>
                <w:szCs w:val="20"/>
                <w:color w:val="auto"/>
                <w:w w:val="98"/>
              </w:rPr>
              <w:t>as Vice President &amp; General Manager, HP Software and Global</w:t>
            </w:r>
          </w:p>
        </w:tc>
        <w:tc>
          <w:tcPr>
            <w:tcW w:w="0" w:type="dxa"/>
            <w:vAlign w:val="bottom"/>
          </w:tcPr>
          <w:p>
            <w:pPr>
              <w:spacing w:after="0"/>
              <w:rPr>
                <w:sz w:val="1"/>
                <w:szCs w:val="1"/>
                <w:color w:val="auto"/>
              </w:rPr>
            </w:pPr>
          </w:p>
        </w:tc>
      </w:tr>
      <w:tr>
        <w:trPr>
          <w:trHeight w:val="261"/>
        </w:trPr>
        <w:tc>
          <w:tcPr>
            <w:tcW w:w="420" w:type="dxa"/>
            <w:vAlign w:val="bottom"/>
          </w:tcPr>
          <w:p>
            <w:pPr>
              <w:spacing w:after="0"/>
              <w:rPr>
                <w:sz w:val="22"/>
                <w:szCs w:val="22"/>
                <w:color w:val="auto"/>
              </w:rPr>
            </w:pPr>
          </w:p>
        </w:tc>
        <w:tc>
          <w:tcPr>
            <w:tcW w:w="2660" w:type="dxa"/>
            <w:vAlign w:val="bottom"/>
            <w:tcBorders>
              <w:right w:val="single" w:sz="8" w:color="123054"/>
            </w:tcBorders>
          </w:tcPr>
          <w:p>
            <w:pPr>
              <w:spacing w:after="0"/>
              <w:rPr>
                <w:sz w:val="22"/>
                <w:szCs w:val="22"/>
                <w:color w:val="auto"/>
              </w:rPr>
            </w:pPr>
          </w:p>
        </w:tc>
        <w:tc>
          <w:tcPr>
            <w:tcW w:w="5860" w:type="dxa"/>
            <w:vAlign w:val="bottom"/>
            <w:gridSpan w:val="2"/>
          </w:tcPr>
          <w:p>
            <w:pPr>
              <w:ind w:left="320"/>
              <w:spacing w:after="0"/>
              <w:rPr>
                <w:sz w:val="20"/>
                <w:szCs w:val="20"/>
                <w:color w:val="auto"/>
              </w:rPr>
            </w:pPr>
            <w:r>
              <w:rPr>
                <w:rFonts w:ascii="Arial" w:cs="Arial" w:eastAsia="Arial" w:hAnsi="Arial"/>
                <w:sz w:val="20"/>
                <w:szCs w:val="20"/>
                <w:color w:val="auto"/>
              </w:rPr>
              <w:t>Networking Business Management.</w:t>
            </w: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2660" w:type="dxa"/>
            <w:vAlign w:val="bottom"/>
            <w:tcBorders>
              <w:right w:val="single" w:sz="8" w:color="123054"/>
            </w:tcBorders>
          </w:tcPr>
          <w:p>
            <w:pPr>
              <w:spacing w:after="0"/>
              <w:rPr>
                <w:sz w:val="24"/>
                <w:szCs w:val="24"/>
                <w:color w:val="auto"/>
              </w:rPr>
            </w:pPr>
          </w:p>
        </w:tc>
        <w:tc>
          <w:tcPr>
            <w:tcW w:w="5860" w:type="dxa"/>
            <w:vAlign w:val="bottom"/>
            <w:gridSpan w:val="2"/>
          </w:tcPr>
          <w:p>
            <w:pPr>
              <w:ind w:left="300"/>
              <w:spacing w:after="0"/>
              <w:rPr>
                <w:sz w:val="20"/>
                <w:szCs w:val="20"/>
                <w:color w:val="auto"/>
              </w:rPr>
            </w:pPr>
            <w:r>
              <w:rPr>
                <w:rFonts w:ascii="Arial" w:cs="Arial" w:eastAsia="Arial" w:hAnsi="Arial"/>
                <w:sz w:val="20"/>
                <w:szCs w:val="20"/>
                <w:i w:val="1"/>
                <w:iCs w:val="1"/>
                <w:color w:val="auto"/>
              </w:rPr>
              <w:t>Director Qualifications:</w:t>
            </w:r>
          </w:p>
        </w:tc>
        <w:tc>
          <w:tcPr>
            <w:tcW w:w="0" w:type="dxa"/>
            <w:vAlign w:val="bottom"/>
          </w:tcPr>
          <w:p>
            <w:pPr>
              <w:spacing w:after="0"/>
              <w:rPr>
                <w:sz w:val="1"/>
                <w:szCs w:val="1"/>
                <w:color w:val="auto"/>
              </w:rPr>
            </w:pPr>
          </w:p>
        </w:tc>
      </w:tr>
      <w:tr>
        <w:trPr>
          <w:trHeight w:val="306"/>
        </w:trPr>
        <w:tc>
          <w:tcPr>
            <w:tcW w:w="308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b w:val="1"/>
                <w:bCs w:val="1"/>
                <w:color w:val="123054"/>
              </w:rPr>
              <w:t>MARK P. HIPP</w:t>
            </w:r>
          </w:p>
        </w:tc>
        <w:tc>
          <w:tcPr>
            <w:tcW w:w="5860" w:type="dxa"/>
            <w:vAlign w:val="bottom"/>
            <w:gridSpan w:val="2"/>
          </w:tcPr>
          <w:p>
            <w:pPr>
              <w:ind w:left="340"/>
              <w:spacing w:after="0"/>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i w:val="1"/>
                <w:iCs w:val="1"/>
                <w:color w:val="000000"/>
              </w:rPr>
              <w:t>Valuable perspective and insight with respect to issues</w:t>
            </w:r>
          </w:p>
        </w:tc>
        <w:tc>
          <w:tcPr>
            <w:tcW w:w="0" w:type="dxa"/>
            <w:vAlign w:val="bottom"/>
          </w:tcPr>
          <w:p>
            <w:pPr>
              <w:spacing w:after="0"/>
              <w:rPr>
                <w:sz w:val="1"/>
                <w:szCs w:val="1"/>
                <w:color w:val="auto"/>
              </w:rPr>
            </w:pPr>
          </w:p>
        </w:tc>
      </w:tr>
      <w:tr>
        <w:trPr>
          <w:trHeight w:val="207"/>
        </w:trPr>
        <w:tc>
          <w:tcPr>
            <w:tcW w:w="3080" w:type="dxa"/>
            <w:vAlign w:val="bottom"/>
            <w:tcBorders>
              <w:right w:val="single" w:sz="8" w:color="123054"/>
            </w:tcBorders>
            <w:gridSpan w:val="2"/>
            <w:vMerge w:val="continue"/>
          </w:tcPr>
          <w:p>
            <w:pPr>
              <w:spacing w:after="0"/>
              <w:rPr>
                <w:sz w:val="18"/>
                <w:szCs w:val="18"/>
                <w:color w:val="auto"/>
              </w:rPr>
            </w:pPr>
          </w:p>
        </w:tc>
        <w:tc>
          <w:tcPr>
            <w:tcW w:w="5860" w:type="dxa"/>
            <w:vAlign w:val="bottom"/>
            <w:gridSpan w:val="2"/>
          </w:tcPr>
          <w:p>
            <w:pPr>
              <w:ind w:left="680"/>
              <w:spacing w:after="0" w:line="207" w:lineRule="exact"/>
              <w:rPr>
                <w:sz w:val="20"/>
                <w:szCs w:val="20"/>
                <w:color w:val="auto"/>
              </w:rPr>
            </w:pPr>
            <w:r>
              <w:rPr>
                <w:rFonts w:ascii="Arial" w:cs="Arial" w:eastAsia="Arial" w:hAnsi="Arial"/>
                <w:sz w:val="20"/>
                <w:szCs w:val="20"/>
                <w:i w:val="1"/>
                <w:iCs w:val="1"/>
                <w:color w:val="auto"/>
              </w:rPr>
              <w:t>relating to information technology, including cybersecurity</w:t>
            </w:r>
          </w:p>
        </w:tc>
        <w:tc>
          <w:tcPr>
            <w:tcW w:w="0" w:type="dxa"/>
            <w:vAlign w:val="bottom"/>
          </w:tcPr>
          <w:p>
            <w:pPr>
              <w:spacing w:after="0"/>
              <w:rPr>
                <w:sz w:val="1"/>
                <w:szCs w:val="1"/>
                <w:color w:val="auto"/>
              </w:rPr>
            </w:pPr>
          </w:p>
        </w:tc>
      </w:tr>
      <w:tr>
        <w:trPr>
          <w:trHeight w:val="184"/>
        </w:trPr>
        <w:tc>
          <w:tcPr>
            <w:tcW w:w="3080" w:type="dxa"/>
            <w:vAlign w:val="bottom"/>
            <w:tcBorders>
              <w:right w:val="single" w:sz="8" w:color="123054"/>
            </w:tcBorders>
            <w:gridSpan w:val="2"/>
            <w:vMerge w:val="restart"/>
          </w:tcPr>
          <w:p>
            <w:pPr>
              <w:ind w:left="40"/>
              <w:spacing w:after="0"/>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2018</w:t>
            </w:r>
          </w:p>
        </w:tc>
        <w:tc>
          <w:tcPr>
            <w:tcW w:w="5860" w:type="dxa"/>
            <w:vAlign w:val="bottom"/>
            <w:gridSpan w:val="2"/>
          </w:tcPr>
          <w:p>
            <w:pPr>
              <w:ind w:left="680"/>
              <w:spacing w:after="0" w:line="184" w:lineRule="exact"/>
              <w:rPr>
                <w:sz w:val="20"/>
                <w:szCs w:val="20"/>
                <w:color w:val="auto"/>
              </w:rPr>
            </w:pPr>
            <w:r>
              <w:rPr>
                <w:rFonts w:ascii="Arial" w:cs="Arial" w:eastAsia="Arial" w:hAnsi="Arial"/>
                <w:sz w:val="20"/>
                <w:szCs w:val="20"/>
                <w:i w:val="1"/>
                <w:iCs w:val="1"/>
                <w:color w:val="auto"/>
              </w:rPr>
              <w:t>and eCommerce, as well as global supply chain and</w:t>
            </w:r>
          </w:p>
        </w:tc>
        <w:tc>
          <w:tcPr>
            <w:tcW w:w="0" w:type="dxa"/>
            <w:vAlign w:val="bottom"/>
          </w:tcPr>
          <w:p>
            <w:pPr>
              <w:spacing w:after="0"/>
              <w:rPr>
                <w:sz w:val="1"/>
                <w:szCs w:val="1"/>
                <w:color w:val="auto"/>
              </w:rPr>
            </w:pPr>
          </w:p>
        </w:tc>
      </w:tr>
      <w:tr>
        <w:trPr>
          <w:trHeight w:val="214"/>
        </w:trPr>
        <w:tc>
          <w:tcPr>
            <w:tcW w:w="3080" w:type="dxa"/>
            <w:vAlign w:val="bottom"/>
            <w:tcBorders>
              <w:right w:val="single" w:sz="8" w:color="123054"/>
            </w:tcBorders>
            <w:gridSpan w:val="2"/>
            <w:vMerge w:val="continue"/>
          </w:tcPr>
          <w:p>
            <w:pPr>
              <w:spacing w:after="0"/>
              <w:rPr>
                <w:sz w:val="18"/>
                <w:szCs w:val="18"/>
                <w:color w:val="auto"/>
              </w:rPr>
            </w:pPr>
          </w:p>
        </w:tc>
        <w:tc>
          <w:tcPr>
            <w:tcW w:w="5860" w:type="dxa"/>
            <w:vAlign w:val="bottom"/>
            <w:gridSpan w:val="2"/>
          </w:tcPr>
          <w:p>
            <w:pPr>
              <w:ind w:left="680"/>
              <w:spacing w:after="0" w:line="214" w:lineRule="exact"/>
              <w:rPr>
                <w:sz w:val="20"/>
                <w:szCs w:val="20"/>
                <w:color w:val="auto"/>
              </w:rPr>
            </w:pPr>
            <w:r>
              <w:rPr>
                <w:rFonts w:ascii="Arial" w:cs="Arial" w:eastAsia="Arial" w:hAnsi="Arial"/>
                <w:sz w:val="20"/>
                <w:szCs w:val="20"/>
                <w:i w:val="1"/>
                <w:iCs w:val="1"/>
                <w:color w:val="auto"/>
              </w:rPr>
              <w:t>logistics</w:t>
            </w:r>
          </w:p>
        </w:tc>
        <w:tc>
          <w:tcPr>
            <w:tcW w:w="0" w:type="dxa"/>
            <w:vAlign w:val="bottom"/>
          </w:tcPr>
          <w:p>
            <w:pPr>
              <w:spacing w:after="0"/>
              <w:rPr>
                <w:sz w:val="1"/>
                <w:szCs w:val="1"/>
                <w:color w:val="auto"/>
              </w:rPr>
            </w:pPr>
          </w:p>
        </w:tc>
      </w:tr>
      <w:tr>
        <w:trPr>
          <w:trHeight w:val="232"/>
        </w:trPr>
        <w:tc>
          <w:tcPr>
            <w:tcW w:w="3080" w:type="dxa"/>
            <w:vAlign w:val="bottom"/>
            <w:tcBorders>
              <w:right w:val="single" w:sz="8" w:color="123054"/>
            </w:tcBorders>
            <w:gridSpan w:val="2"/>
          </w:tcPr>
          <w:p>
            <w:pPr>
              <w:ind w:left="4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63</w:t>
            </w:r>
          </w:p>
        </w:tc>
        <w:tc>
          <w:tcPr>
            <w:tcW w:w="5860" w:type="dxa"/>
            <w:vAlign w:val="bottom"/>
            <w:gridSpan w:val="2"/>
          </w:tcPr>
          <w:p>
            <w:pPr>
              <w:ind w:left="340"/>
              <w:spacing w:after="0"/>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i w:val="1"/>
                <w:iCs w:val="1"/>
                <w:color w:val="000000"/>
              </w:rPr>
              <w:t>Meaningful experience in strategic growth transactions</w:t>
            </w:r>
          </w:p>
        </w:tc>
        <w:tc>
          <w:tcPr>
            <w:tcW w:w="0" w:type="dxa"/>
            <w:vAlign w:val="bottom"/>
          </w:tcPr>
          <w:p>
            <w:pPr>
              <w:spacing w:after="0"/>
              <w:rPr>
                <w:sz w:val="1"/>
                <w:szCs w:val="1"/>
                <w:color w:val="auto"/>
              </w:rPr>
            </w:pPr>
          </w:p>
        </w:tc>
      </w:tr>
      <w:tr>
        <w:trPr>
          <w:trHeight w:val="203"/>
        </w:trPr>
        <w:tc>
          <w:tcPr>
            <w:tcW w:w="3080" w:type="dxa"/>
            <w:vAlign w:val="bottom"/>
            <w:tcBorders>
              <w:right w:val="single" w:sz="8" w:color="123054"/>
            </w:tcBorders>
            <w:gridSpan w:val="2"/>
            <w:vMerge w:val="restart"/>
          </w:tcPr>
          <w:p>
            <w:pPr>
              <w:ind w:left="40"/>
              <w:spacing w:after="0"/>
              <w:rPr>
                <w:sz w:val="20"/>
                <w:szCs w:val="20"/>
                <w:color w:val="auto"/>
              </w:rPr>
            </w:pPr>
            <w:r>
              <w:rPr>
                <w:rFonts w:ascii="Arial" w:cs="Arial" w:eastAsia="Arial" w:hAnsi="Arial"/>
                <w:sz w:val="20"/>
                <w:szCs w:val="20"/>
                <w:b w:val="1"/>
                <w:bCs w:val="1"/>
                <w:color w:val="auto"/>
              </w:rPr>
              <w:t>Committees:</w:t>
            </w:r>
          </w:p>
        </w:tc>
        <w:tc>
          <w:tcPr>
            <w:tcW w:w="5860" w:type="dxa"/>
            <w:vAlign w:val="bottom"/>
            <w:gridSpan w:val="2"/>
          </w:tcPr>
          <w:p>
            <w:pPr>
              <w:ind w:left="680"/>
              <w:spacing w:after="0" w:line="203" w:lineRule="exact"/>
              <w:rPr>
                <w:sz w:val="20"/>
                <w:szCs w:val="20"/>
                <w:color w:val="auto"/>
              </w:rPr>
            </w:pPr>
            <w:r>
              <w:rPr>
                <w:rFonts w:ascii="Arial" w:cs="Arial" w:eastAsia="Arial" w:hAnsi="Arial"/>
                <w:sz w:val="20"/>
                <w:szCs w:val="20"/>
                <w:i w:val="1"/>
                <w:iCs w:val="1"/>
                <w:color w:val="auto"/>
              </w:rPr>
              <w:t>including through investments, strategic relationships, and</w:t>
            </w:r>
          </w:p>
        </w:tc>
        <w:tc>
          <w:tcPr>
            <w:tcW w:w="0" w:type="dxa"/>
            <w:vAlign w:val="bottom"/>
          </w:tcPr>
          <w:p>
            <w:pPr>
              <w:spacing w:after="0"/>
              <w:rPr>
                <w:sz w:val="1"/>
                <w:szCs w:val="1"/>
                <w:color w:val="auto"/>
              </w:rPr>
            </w:pPr>
          </w:p>
        </w:tc>
      </w:tr>
      <w:tr>
        <w:trPr>
          <w:trHeight w:val="150"/>
        </w:trPr>
        <w:tc>
          <w:tcPr>
            <w:tcW w:w="3080" w:type="dxa"/>
            <w:vAlign w:val="bottom"/>
            <w:tcBorders>
              <w:right w:val="single" w:sz="8" w:color="123054"/>
            </w:tcBorders>
            <w:gridSpan w:val="2"/>
            <w:vMerge w:val="continue"/>
          </w:tcPr>
          <w:p>
            <w:pPr>
              <w:spacing w:after="0"/>
              <w:rPr>
                <w:sz w:val="13"/>
                <w:szCs w:val="13"/>
                <w:color w:val="auto"/>
              </w:rPr>
            </w:pPr>
          </w:p>
        </w:tc>
        <w:tc>
          <w:tcPr>
            <w:tcW w:w="5860" w:type="dxa"/>
            <w:vAlign w:val="bottom"/>
            <w:gridSpan w:val="2"/>
            <w:vMerge w:val="restart"/>
          </w:tcPr>
          <w:p>
            <w:pPr>
              <w:ind w:left="680"/>
              <w:spacing w:after="0"/>
              <w:rPr>
                <w:sz w:val="20"/>
                <w:szCs w:val="20"/>
                <w:color w:val="auto"/>
              </w:rPr>
            </w:pPr>
            <w:r>
              <w:rPr>
                <w:rFonts w:ascii="Arial" w:cs="Arial" w:eastAsia="Arial" w:hAnsi="Arial"/>
                <w:sz w:val="20"/>
                <w:szCs w:val="20"/>
                <w:i w:val="1"/>
                <w:iCs w:val="1"/>
                <w:color w:val="auto"/>
              </w:rPr>
              <w:t>mergers and acquisitions</w:t>
            </w:r>
          </w:p>
        </w:tc>
        <w:tc>
          <w:tcPr>
            <w:tcW w:w="0" w:type="dxa"/>
            <w:vAlign w:val="bottom"/>
          </w:tcPr>
          <w:p>
            <w:pPr>
              <w:spacing w:after="0"/>
              <w:rPr>
                <w:sz w:val="1"/>
                <w:szCs w:val="1"/>
                <w:color w:val="auto"/>
              </w:rPr>
            </w:pPr>
          </w:p>
        </w:tc>
      </w:tr>
      <w:tr>
        <w:trPr>
          <w:trHeight w:val="112"/>
        </w:trPr>
        <w:tc>
          <w:tcPr>
            <w:tcW w:w="420" w:type="dxa"/>
            <w:vAlign w:val="bottom"/>
            <w:vMerge w:val="restart"/>
          </w:tcPr>
          <w:p>
            <w:pPr>
              <w:ind w:left="280"/>
              <w:spacing w:after="0"/>
              <w:rPr>
                <w:sz w:val="20"/>
                <w:szCs w:val="20"/>
                <w:color w:val="auto"/>
              </w:rPr>
            </w:pPr>
            <w:r>
              <w:rPr>
                <w:rFonts w:ascii="Arial" w:cs="Arial" w:eastAsia="Arial" w:hAnsi="Arial"/>
                <w:sz w:val="20"/>
                <w:szCs w:val="20"/>
                <w:color w:val="123054"/>
              </w:rPr>
              <w:t>•</w:t>
            </w:r>
          </w:p>
        </w:tc>
        <w:tc>
          <w:tcPr>
            <w:tcW w:w="2660" w:type="dxa"/>
            <w:vAlign w:val="bottom"/>
            <w:tcBorders>
              <w:right w:val="single" w:sz="8" w:color="123054"/>
            </w:tcBorders>
            <w:vMerge w:val="restart"/>
          </w:tcPr>
          <w:p>
            <w:pPr>
              <w:ind w:left="80"/>
              <w:spacing w:after="0"/>
              <w:rPr>
                <w:sz w:val="20"/>
                <w:szCs w:val="20"/>
                <w:color w:val="auto"/>
              </w:rPr>
            </w:pPr>
            <w:r>
              <w:rPr>
                <w:rFonts w:ascii="Arial" w:cs="Arial" w:eastAsia="Arial" w:hAnsi="Arial"/>
                <w:sz w:val="20"/>
                <w:szCs w:val="20"/>
                <w:color w:val="auto"/>
              </w:rPr>
              <w:t>Audit</w:t>
            </w:r>
          </w:p>
        </w:tc>
        <w:tc>
          <w:tcPr>
            <w:tcW w:w="5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420" w:type="dxa"/>
            <w:vAlign w:val="bottom"/>
            <w:vMerge w:val="continue"/>
          </w:tcPr>
          <w:p>
            <w:pPr>
              <w:spacing w:after="0"/>
              <w:rPr>
                <w:sz w:val="15"/>
                <w:szCs w:val="15"/>
                <w:color w:val="auto"/>
              </w:rPr>
            </w:pPr>
          </w:p>
        </w:tc>
        <w:tc>
          <w:tcPr>
            <w:tcW w:w="2660" w:type="dxa"/>
            <w:vAlign w:val="bottom"/>
            <w:tcBorders>
              <w:right w:val="single" w:sz="8" w:color="123054"/>
            </w:tcBorders>
            <w:vMerge w:val="continue"/>
          </w:tcPr>
          <w:p>
            <w:pPr>
              <w:spacing w:after="0"/>
              <w:rPr>
                <w:sz w:val="15"/>
                <w:szCs w:val="15"/>
                <w:color w:val="auto"/>
              </w:rPr>
            </w:pPr>
          </w:p>
        </w:tc>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0" w:type="dxa"/>
            <w:vAlign w:val="bottom"/>
          </w:tcPr>
          <w:p>
            <w:pPr>
              <w:ind w:left="280"/>
              <w:spacing w:after="0" w:line="194" w:lineRule="exact"/>
              <w:rPr>
                <w:sz w:val="20"/>
                <w:szCs w:val="20"/>
                <w:color w:val="auto"/>
              </w:rPr>
            </w:pPr>
            <w:r>
              <w:rPr>
                <w:rFonts w:ascii="Arial" w:cs="Arial" w:eastAsia="Arial" w:hAnsi="Arial"/>
                <w:sz w:val="20"/>
                <w:szCs w:val="20"/>
                <w:color w:val="123054"/>
              </w:rPr>
              <w:t>•</w:t>
            </w:r>
          </w:p>
        </w:tc>
        <w:tc>
          <w:tcPr>
            <w:tcW w:w="2660" w:type="dxa"/>
            <w:vAlign w:val="bottom"/>
            <w:tcBorders>
              <w:right w:val="single" w:sz="8" w:color="123054"/>
            </w:tcBorders>
          </w:tcPr>
          <w:p>
            <w:pPr>
              <w:ind w:left="80"/>
              <w:spacing w:after="0" w:line="194" w:lineRule="exact"/>
              <w:rPr>
                <w:sz w:val="20"/>
                <w:szCs w:val="20"/>
                <w:color w:val="auto"/>
              </w:rPr>
            </w:pPr>
            <w:r>
              <w:rPr>
                <w:rFonts w:ascii="Arial" w:cs="Arial" w:eastAsia="Arial" w:hAnsi="Arial"/>
                <w:sz w:val="20"/>
                <w:szCs w:val="20"/>
                <w:color w:val="auto"/>
              </w:rPr>
              <w:t>Compensation &amp; Human</w:t>
            </w:r>
          </w:p>
        </w:tc>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0" w:type="dxa"/>
            <w:vAlign w:val="bottom"/>
          </w:tcPr>
          <w:p>
            <w:pPr>
              <w:spacing w:after="0"/>
              <w:rPr>
                <w:sz w:val="22"/>
                <w:szCs w:val="22"/>
                <w:color w:val="auto"/>
              </w:rPr>
            </w:pPr>
          </w:p>
        </w:tc>
        <w:tc>
          <w:tcPr>
            <w:tcW w:w="2660" w:type="dxa"/>
            <w:vAlign w:val="bottom"/>
            <w:tcBorders>
              <w:right w:val="single" w:sz="8" w:color="123054"/>
            </w:tcBorders>
          </w:tcPr>
          <w:p>
            <w:pPr>
              <w:ind w:left="80"/>
              <w:spacing w:after="0"/>
              <w:rPr>
                <w:sz w:val="20"/>
                <w:szCs w:val="20"/>
                <w:color w:val="auto"/>
              </w:rPr>
            </w:pPr>
            <w:r>
              <w:rPr>
                <w:rFonts w:ascii="Arial" w:cs="Arial" w:eastAsia="Arial" w:hAnsi="Arial"/>
                <w:sz w:val="20"/>
                <w:szCs w:val="20"/>
                <w:color w:val="auto"/>
              </w:rPr>
              <w:t>Capital</w:t>
            </w:r>
          </w:p>
        </w:tc>
        <w:tc>
          <w:tcPr>
            <w:tcW w:w="5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1"/>
        </w:trPr>
        <w:tc>
          <w:tcPr>
            <w:tcW w:w="420" w:type="dxa"/>
            <w:vAlign w:val="bottom"/>
            <w:tcBorders>
              <w:bottom w:val="single" w:sz="8" w:color="123054"/>
            </w:tcBorders>
          </w:tcPr>
          <w:p>
            <w:pPr>
              <w:spacing w:after="0"/>
              <w:rPr>
                <w:sz w:val="24"/>
                <w:szCs w:val="24"/>
                <w:color w:val="auto"/>
              </w:rPr>
            </w:pPr>
          </w:p>
        </w:tc>
        <w:tc>
          <w:tcPr>
            <w:tcW w:w="2660" w:type="dxa"/>
            <w:vAlign w:val="bottom"/>
            <w:tcBorders>
              <w:bottom w:val="single" w:sz="8" w:color="123054"/>
              <w:right w:val="single" w:sz="8" w:color="123054"/>
            </w:tcBorders>
          </w:tcPr>
          <w:p>
            <w:pPr>
              <w:spacing w:after="0"/>
              <w:rPr>
                <w:sz w:val="24"/>
                <w:szCs w:val="24"/>
                <w:color w:val="auto"/>
              </w:rPr>
            </w:pPr>
          </w:p>
        </w:tc>
        <w:tc>
          <w:tcPr>
            <w:tcW w:w="5500" w:type="dxa"/>
            <w:vAlign w:val="bottom"/>
            <w:tcBorders>
              <w:bottom w:val="single" w:sz="8" w:color="123054"/>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15" w:orient="portrait"/>
          <w:cols w:equalWidth="0" w:num="1">
            <w:col w:w="9160"/>
          </w:cols>
          <w:pgMar w:left="1440" w:top="1125" w:right="1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123054"/>
        </w:rPr>
        <w:t>DOUGLAS C. PALLADINI</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 xml:space="preserve">Director </w:t>
      </w:r>
      <w:r>
        <w:rPr>
          <w:rFonts w:ascii="Arial" w:cs="Arial" w:eastAsia="Arial" w:hAnsi="Arial"/>
          <w:sz w:val="20"/>
          <w:szCs w:val="20"/>
          <w:color w:val="auto"/>
        </w:rPr>
        <w:t>since 2025</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0" w:right="120"/>
        <w:spacing w:after="0" w:line="238" w:lineRule="auto"/>
        <w:rPr>
          <w:sz w:val="20"/>
          <w:szCs w:val="20"/>
          <w:color w:val="auto"/>
        </w:rPr>
      </w:pPr>
      <w:r>
        <w:rPr>
          <w:rFonts w:ascii="Arial" w:cs="Arial" w:eastAsia="Arial" w:hAnsi="Arial"/>
          <w:sz w:val="20"/>
          <w:szCs w:val="20"/>
          <w:b w:val="1"/>
          <w:bCs w:val="1"/>
          <w:i w:val="1"/>
          <w:iCs w:val="1"/>
          <w:color w:val="auto"/>
        </w:rPr>
        <w:t>Douglas C. Palladini</w:t>
      </w:r>
      <w:r>
        <w:rPr>
          <w:rFonts w:ascii="Arial" w:cs="Arial" w:eastAsia="Arial" w:hAnsi="Arial"/>
          <w:sz w:val="20"/>
          <w:szCs w:val="20"/>
          <w:color w:val="auto"/>
        </w:rPr>
        <w:t>joined Carter’s on April 3, 2025 as Chief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Officer &amp; President and a member of the Board. Mr. Palladini served as the founder and owner of Kickstand, LLC, a consulting and advisory business focused on brand and consumer strategy, from April 2022 until March 2025. Prior to founding Kickstand, LLC, from June 2004 to March 2022, Mr. Palladini served in various roles of increasing responsibility at Vans, a subsidiary of V.F. Corporation, culminating in his role as Global Brand President of Vans from July 2016 through March 2022.</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21" w:lineRule="exact"/>
        <w:rPr>
          <w:sz w:val="20"/>
          <w:szCs w:val="20"/>
          <w:color w:val="auto"/>
        </w:rPr>
      </w:pPr>
    </w:p>
    <w:p>
      <w:pPr>
        <w:ind w:left="380" w:right="320" w:hanging="333"/>
        <w:spacing w:after="0" w:line="231" w:lineRule="auto"/>
        <w:tabs>
          <w:tab w:leader="none" w:pos="380" w:val="left"/>
        </w:tabs>
        <w:numPr>
          <w:ilvl w:val="0"/>
          <w:numId w:val="19"/>
        </w:numPr>
        <w:rPr>
          <w:rFonts w:ascii="Arial" w:cs="Arial" w:eastAsia="Arial" w:hAnsi="Arial"/>
          <w:sz w:val="20"/>
          <w:szCs w:val="20"/>
          <w:color w:val="123054"/>
        </w:rPr>
      </w:pPr>
      <w:r>
        <w:rPr>
          <w:rFonts w:ascii="Arial" w:cs="Arial" w:eastAsia="Arial" w:hAnsi="Arial"/>
          <w:sz w:val="20"/>
          <w:szCs w:val="20"/>
          <w:i w:val="1"/>
          <w:iCs w:val="1"/>
          <w:color w:val="auto"/>
        </w:rPr>
        <w:t>Deep experience with growing brands and consumer-driven strategies, and expertise in creating global brand connections</w:t>
      </w:r>
    </w:p>
    <w:p>
      <w:pPr>
        <w:spacing w:after="0" w:line="1" w:lineRule="exact"/>
        <w:rPr>
          <w:rFonts w:ascii="Arial" w:cs="Arial" w:eastAsia="Arial" w:hAnsi="Arial"/>
          <w:sz w:val="20"/>
          <w:szCs w:val="20"/>
          <w:color w:val="123054"/>
        </w:rPr>
      </w:pPr>
    </w:p>
    <w:p>
      <w:pPr>
        <w:ind w:left="380" w:right="220" w:hanging="333"/>
        <w:spacing w:after="0" w:line="220" w:lineRule="auto"/>
        <w:tabs>
          <w:tab w:leader="none" w:pos="3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Valuable perspective as an executive with decades of experience working in the retail and apparel industry and operating within multiple sales channels</w:t>
      </w:r>
    </w:p>
    <w:p>
      <w:pPr>
        <w:spacing w:after="0" w:line="200" w:lineRule="exact"/>
        <w:rPr>
          <w:sz w:val="20"/>
          <w:szCs w:val="20"/>
          <w:color w:val="auto"/>
        </w:rPr>
      </w:pPr>
    </w:p>
    <w:p>
      <w:pPr>
        <w:sectPr>
          <w:pgSz w:w="11900" w:h="16915" w:orient="portrait"/>
          <w:cols w:equalWidth="0" w:num="2">
            <w:col w:w="2880" w:space="720"/>
            <w:col w:w="5560"/>
          </w:cols>
          <w:pgMar w:left="1440" w:top="1125"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567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156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60" w:right="80"/>
        <w:spacing w:after="0" w:line="274" w:lineRule="auto"/>
        <w:rPr>
          <w:sz w:val="20"/>
          <w:szCs w:val="20"/>
          <w:color w:val="auto"/>
        </w:rPr>
      </w:pPr>
      <w:r>
        <w:rPr>
          <w:rFonts w:ascii="Arial" w:cs="Arial" w:eastAsia="Arial" w:hAnsi="Arial"/>
          <w:sz w:val="19"/>
          <w:szCs w:val="19"/>
          <w:b w:val="1"/>
          <w:bCs w:val="1"/>
          <w:i w:val="1"/>
          <w:iCs w:val="1"/>
          <w:color w:val="auto"/>
        </w:rPr>
        <w:t>Stacey S. Rauch</w:t>
      </w:r>
      <w:r>
        <w:rPr>
          <w:rFonts w:ascii="Arial" w:cs="Arial" w:eastAsia="Arial" w:hAnsi="Arial"/>
          <w:sz w:val="19"/>
          <w:szCs w:val="19"/>
          <w:color w:val="auto"/>
        </w:rPr>
        <w:t>is a Senior Partner Emeritus of McKinsey &amp;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(“McKinsey”). Ms. Rauch was a leader in McKinsey’s Retail and Consumer Goods Practices, served as Head of the North American Retail and Apparel Practice, and as Global Retail Practice Convener. A 24-year veteran of McKinsey, Ms.</w:t>
      </w:r>
    </w:p>
    <w:p>
      <w:pPr>
        <w:sectPr>
          <w:pgSz w:w="11900" w:h="16915" w:orient="portrait"/>
          <w:cols w:equalWidth="0" w:num="1">
            <w:col w:w="9160"/>
          </w:cols>
          <w:pgMar w:left="1440" w:top="1125" w:right="1299"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123054"/>
        </w:rPr>
        <w:t>STACEY S. RAUCH</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 xml:space="preserve">IndependentDirector </w:t>
      </w:r>
      <w:r>
        <w:rPr>
          <w:rFonts w:ascii="Arial" w:cs="Arial" w:eastAsia="Arial" w:hAnsi="Arial"/>
          <w:sz w:val="20"/>
          <w:szCs w:val="20"/>
          <w:color w:val="auto"/>
        </w:rPr>
        <w:t>since 2022</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67</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Committees:</w:t>
      </w:r>
    </w:p>
    <w:p>
      <w:pPr>
        <w:spacing w:after="0" w:line="137" w:lineRule="exact"/>
        <w:rPr>
          <w:sz w:val="20"/>
          <w:szCs w:val="20"/>
          <w:color w:val="auto"/>
        </w:rPr>
      </w:pPr>
    </w:p>
    <w:p>
      <w:pPr>
        <w:ind w:left="820" w:hanging="216"/>
        <w:spacing w:after="0"/>
        <w:tabs>
          <w:tab w:leader="none" w:pos="820" w:val="left"/>
        </w:tabs>
        <w:numPr>
          <w:ilvl w:val="0"/>
          <w:numId w:val="20"/>
        </w:numPr>
        <w:rPr>
          <w:rFonts w:ascii="Arial" w:cs="Arial" w:eastAsia="Arial" w:hAnsi="Arial"/>
          <w:sz w:val="20"/>
          <w:szCs w:val="20"/>
          <w:color w:val="123054"/>
        </w:rPr>
      </w:pPr>
      <w:r>
        <w:rPr>
          <w:rFonts w:ascii="Arial" w:cs="Arial" w:eastAsia="Arial" w:hAnsi="Arial"/>
          <w:sz w:val="20"/>
          <w:szCs w:val="20"/>
          <w:color w:val="auto"/>
        </w:rPr>
        <w:t>Audit</w:t>
      </w:r>
    </w:p>
    <w:p>
      <w:pPr>
        <w:spacing w:after="0" w:line="17" w:lineRule="exact"/>
        <w:rPr>
          <w:rFonts w:ascii="Arial" w:cs="Arial" w:eastAsia="Arial" w:hAnsi="Arial"/>
          <w:sz w:val="20"/>
          <w:szCs w:val="20"/>
          <w:color w:val="123054"/>
        </w:rPr>
      </w:pPr>
    </w:p>
    <w:p>
      <w:pPr>
        <w:ind w:left="840" w:right="1080" w:hanging="235"/>
        <w:spacing w:after="0" w:line="252" w:lineRule="auto"/>
        <w:tabs>
          <w:tab w:leader="none" w:pos="840" w:val="left"/>
        </w:tabs>
        <w:numPr>
          <w:ilvl w:val="0"/>
          <w:numId w:val="20"/>
        </w:numPr>
        <w:rPr>
          <w:rFonts w:ascii="Arial" w:cs="Arial" w:eastAsia="Arial" w:hAnsi="Arial"/>
          <w:sz w:val="19"/>
          <w:szCs w:val="19"/>
          <w:color w:val="123054"/>
        </w:rPr>
      </w:pPr>
      <w:r>
        <w:rPr>
          <w:rFonts w:ascii="Arial" w:cs="Arial" w:eastAsia="Arial" w:hAnsi="Arial"/>
          <w:sz w:val="19"/>
          <w:szCs w:val="19"/>
          <w:color w:val="auto"/>
        </w:rPr>
        <w:t>Business Transformation</w:t>
      </w:r>
    </w:p>
    <w:p>
      <w:pPr>
        <w:ind w:left="840" w:right="1220" w:hanging="235"/>
        <w:spacing w:after="0" w:line="220" w:lineRule="auto"/>
        <w:tabs>
          <w:tab w:leader="none" w:pos="840" w:val="left"/>
        </w:tabs>
        <w:numPr>
          <w:ilvl w:val="0"/>
          <w:numId w:val="20"/>
        </w:numPr>
        <w:rPr>
          <w:rFonts w:ascii="Arial" w:cs="Arial" w:eastAsia="Arial" w:hAnsi="Arial"/>
          <w:sz w:val="20"/>
          <w:szCs w:val="20"/>
          <w:b w:val="1"/>
          <w:bCs w:val="1"/>
          <w:color w:val="123054"/>
        </w:rPr>
      </w:pPr>
      <w:r>
        <w:rPr>
          <w:rFonts w:ascii="Arial" w:cs="Arial" w:eastAsia="Arial" w:hAnsi="Arial"/>
          <w:sz w:val="20"/>
          <w:szCs w:val="20"/>
          <w:color w:val="auto"/>
        </w:rPr>
        <w:t>Nominating &amp; Corporate Governance</w:t>
      </w:r>
    </w:p>
    <w:p>
      <w:pPr>
        <w:spacing w:after="0" w:line="198" w:lineRule="exact"/>
        <w:rPr>
          <w:sz w:val="20"/>
          <w:szCs w:val="20"/>
          <w:color w:val="auto"/>
        </w:rPr>
      </w:pPr>
    </w:p>
    <w:p>
      <w:pPr>
        <w:ind w:left="360" w:right="760"/>
        <w:spacing w:after="0" w:line="282" w:lineRule="auto"/>
        <w:rPr>
          <w:sz w:val="20"/>
          <w:szCs w:val="20"/>
          <w:color w:val="auto"/>
        </w:rPr>
      </w:pPr>
      <w:r>
        <w:rPr>
          <w:rFonts w:ascii="Arial" w:cs="Arial" w:eastAsia="Arial" w:hAnsi="Arial"/>
          <w:sz w:val="19"/>
          <w:szCs w:val="19"/>
          <w:b w:val="1"/>
          <w:bCs w:val="1"/>
          <w:color w:val="auto"/>
        </w:rPr>
        <w:t>Other Public Company Directorships:</w:t>
      </w:r>
    </w:p>
    <w:p>
      <w:pPr>
        <w:spacing w:after="0" w:line="56" w:lineRule="exact"/>
        <w:rPr>
          <w:sz w:val="20"/>
          <w:szCs w:val="20"/>
          <w:color w:val="auto"/>
        </w:rPr>
      </w:pPr>
    </w:p>
    <w:p>
      <w:pPr>
        <w:ind w:left="840" w:right="380" w:hanging="235"/>
        <w:spacing w:after="0" w:line="248" w:lineRule="auto"/>
        <w:tabs>
          <w:tab w:leader="none" w:pos="840" w:val="left"/>
        </w:tabs>
        <w:numPr>
          <w:ilvl w:val="0"/>
          <w:numId w:val="21"/>
        </w:numPr>
        <w:rPr>
          <w:rFonts w:ascii="Arial" w:cs="Arial" w:eastAsia="Arial" w:hAnsi="Arial"/>
          <w:sz w:val="20"/>
          <w:szCs w:val="20"/>
          <w:color w:val="123054"/>
        </w:rPr>
      </w:pPr>
      <w:r>
        <w:rPr>
          <w:rFonts w:ascii="Arial" w:cs="Arial" w:eastAsia="Arial" w:hAnsi="Arial"/>
          <w:sz w:val="20"/>
          <w:szCs w:val="20"/>
          <w:color w:val="auto"/>
        </w:rPr>
        <w:t>Heidrick &amp; Struggles International, Inc. since 2019</w:t>
      </w:r>
    </w:p>
    <w:p>
      <w:pPr>
        <w:spacing w:after="0" w:line="28" w:lineRule="exact"/>
        <w:rPr>
          <w:sz w:val="20"/>
          <w:szCs w:val="20"/>
          <w:color w:val="auto"/>
        </w:rPr>
      </w:pPr>
    </w:p>
    <w:p>
      <w:pPr>
        <w:ind w:left="360" w:right="840"/>
        <w:spacing w:after="0" w:line="282" w:lineRule="auto"/>
        <w:rPr>
          <w:sz w:val="20"/>
          <w:szCs w:val="20"/>
          <w:color w:val="auto"/>
        </w:rPr>
      </w:pPr>
      <w:r>
        <w:rPr>
          <w:rFonts w:ascii="Arial" w:cs="Arial" w:eastAsia="Arial" w:hAnsi="Arial"/>
          <w:sz w:val="19"/>
          <w:szCs w:val="19"/>
          <w:b w:val="1"/>
          <w:bCs w:val="1"/>
          <w:color w:val="auto"/>
        </w:rPr>
        <w:t>Prior Public Company Directorships:</w:t>
      </w:r>
    </w:p>
    <w:p>
      <w:pPr>
        <w:spacing w:after="0" w:line="42" w:lineRule="exact"/>
        <w:rPr>
          <w:sz w:val="20"/>
          <w:szCs w:val="20"/>
          <w:color w:val="auto"/>
        </w:rPr>
      </w:pPr>
    </w:p>
    <w:p>
      <w:pPr>
        <w:ind w:left="840" w:right="20" w:hanging="235"/>
        <w:spacing w:after="0" w:line="248" w:lineRule="auto"/>
        <w:tabs>
          <w:tab w:leader="none" w:pos="840" w:val="left"/>
        </w:tabs>
        <w:numPr>
          <w:ilvl w:val="0"/>
          <w:numId w:val="22"/>
        </w:numPr>
        <w:rPr>
          <w:rFonts w:ascii="Arial" w:cs="Arial" w:eastAsia="Arial" w:hAnsi="Arial"/>
          <w:sz w:val="20"/>
          <w:szCs w:val="20"/>
          <w:color w:val="123054"/>
        </w:rPr>
      </w:pPr>
      <w:r>
        <w:rPr>
          <w:rFonts w:ascii="Arial" w:cs="Arial" w:eastAsia="Arial" w:hAnsi="Arial"/>
          <w:sz w:val="20"/>
          <w:szCs w:val="20"/>
          <w:color w:val="auto"/>
        </w:rPr>
        <w:t>Ascena Retail Group (2017 to 2021)</w:t>
      </w:r>
    </w:p>
    <w:p>
      <w:pPr>
        <w:spacing w:after="0" w:line="1" w:lineRule="exact"/>
        <w:rPr>
          <w:rFonts w:ascii="Arial" w:cs="Arial" w:eastAsia="Arial" w:hAnsi="Arial"/>
          <w:sz w:val="20"/>
          <w:szCs w:val="20"/>
          <w:color w:val="123054"/>
        </w:rPr>
      </w:pPr>
    </w:p>
    <w:p>
      <w:pPr>
        <w:ind w:left="840" w:hanging="235"/>
        <w:spacing w:after="0" w:line="204" w:lineRule="auto"/>
        <w:tabs>
          <w:tab w:leader="none" w:pos="840" w:val="left"/>
        </w:tabs>
        <w:numPr>
          <w:ilvl w:val="0"/>
          <w:numId w:val="22"/>
        </w:numPr>
        <w:rPr>
          <w:rFonts w:ascii="Arial" w:cs="Arial" w:eastAsia="Arial" w:hAnsi="Arial"/>
          <w:sz w:val="20"/>
          <w:szCs w:val="20"/>
          <w:color w:val="123054"/>
        </w:rPr>
      </w:pPr>
      <w:r>
        <w:rPr>
          <w:rFonts w:ascii="Arial" w:cs="Arial" w:eastAsia="Arial" w:hAnsi="Arial"/>
          <w:sz w:val="20"/>
          <w:szCs w:val="20"/>
          <w:color w:val="auto"/>
        </w:rPr>
        <w:t>Land Securities Group PLC (2012 to 2021)</w:t>
      </w:r>
    </w:p>
    <w:p>
      <w:pPr>
        <w:jc w:val="both"/>
        <w:ind w:left="840" w:right="160" w:hanging="235"/>
        <w:spacing w:after="0" w:line="232" w:lineRule="auto"/>
        <w:tabs>
          <w:tab w:leader="none" w:pos="840" w:val="left"/>
        </w:tabs>
        <w:numPr>
          <w:ilvl w:val="0"/>
          <w:numId w:val="22"/>
        </w:numPr>
        <w:rPr>
          <w:rFonts w:ascii="Arial" w:cs="Arial" w:eastAsia="Arial" w:hAnsi="Arial"/>
          <w:sz w:val="19"/>
          <w:szCs w:val="19"/>
          <w:b w:val="1"/>
          <w:bCs w:val="1"/>
          <w:color w:val="123054"/>
        </w:rPr>
      </w:pPr>
      <w:r>
        <w:rPr>
          <w:rFonts w:ascii="Arial" w:cs="Arial" w:eastAsia="Arial" w:hAnsi="Arial"/>
          <w:sz w:val="19"/>
          <w:szCs w:val="19"/>
          <w:color w:val="auto"/>
        </w:rPr>
        <w:t>Fiesta Restaurant Group, Inc. (2012 to 2023) (Chair from 2017 to 2023)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Rauch led engagements for a wide range of retailers, apparel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-122555</wp:posOffset>
            </wp:positionV>
            <wp:extent cx="6810375" cy="7288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728853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20"/>
          <w:szCs w:val="20"/>
          <w:color w:val="auto"/>
        </w:rPr>
        <w:t>wholesalers, and consumer goods manufacturers in the U.S. and internationally. Ms. Rauch was a co-founder of McKinsey’s New Jersey office and was the first woman at McKinsey appointed as an industry practice leader. Since retiring from McKinsey, Ms. Rauch has served as a member or chair of various companies’ boards.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75" w:lineRule="exact"/>
        <w:rPr>
          <w:sz w:val="20"/>
          <w:szCs w:val="20"/>
          <w:color w:val="auto"/>
        </w:rPr>
      </w:pPr>
    </w:p>
    <w:p>
      <w:pPr>
        <w:ind w:left="420" w:right="260" w:hanging="333"/>
        <w:spacing w:after="0" w:line="226" w:lineRule="auto"/>
        <w:tabs>
          <w:tab w:leader="none" w:pos="420" w:val="left"/>
        </w:tabs>
        <w:numPr>
          <w:ilvl w:val="0"/>
          <w:numId w:val="23"/>
        </w:numPr>
        <w:rPr>
          <w:rFonts w:ascii="Arial" w:cs="Arial" w:eastAsia="Arial" w:hAnsi="Arial"/>
          <w:sz w:val="20"/>
          <w:szCs w:val="20"/>
          <w:i w:val="1"/>
          <w:iCs w:val="1"/>
          <w:color w:val="123054"/>
        </w:rPr>
      </w:pPr>
      <w:r>
        <w:rPr>
          <w:rFonts w:ascii="Arial" w:cs="Arial" w:eastAsia="Arial" w:hAnsi="Arial"/>
          <w:sz w:val="20"/>
          <w:szCs w:val="20"/>
          <w:i w:val="1"/>
          <w:iCs w:val="1"/>
          <w:color w:val="auto"/>
        </w:rPr>
        <w:t>Strategic leadership expertise and deep experience in international business with a significant focus on the retail, apparel, and consumer goods industries</w:t>
      </w:r>
    </w:p>
    <w:p>
      <w:pPr>
        <w:spacing w:after="0" w:line="2" w:lineRule="exact"/>
        <w:rPr>
          <w:rFonts w:ascii="Arial" w:cs="Arial" w:eastAsia="Arial" w:hAnsi="Arial"/>
          <w:sz w:val="20"/>
          <w:szCs w:val="20"/>
          <w:i w:val="1"/>
          <w:iCs w:val="1"/>
          <w:color w:val="123054"/>
        </w:rPr>
      </w:pPr>
    </w:p>
    <w:p>
      <w:pPr>
        <w:jc w:val="both"/>
        <w:ind w:left="420" w:right="860" w:hanging="333"/>
        <w:spacing w:after="0" w:line="220" w:lineRule="auto"/>
        <w:tabs>
          <w:tab w:leader="none" w:pos="420" w:val="left"/>
        </w:tabs>
        <w:numPr>
          <w:ilvl w:val="0"/>
          <w:numId w:val="23"/>
        </w:numPr>
        <w:rPr>
          <w:rFonts w:ascii="Arial" w:cs="Arial" w:eastAsia="Arial" w:hAnsi="Arial"/>
          <w:sz w:val="20"/>
          <w:szCs w:val="20"/>
          <w:i w:val="1"/>
          <w:iCs w:val="1"/>
          <w:color w:val="123054"/>
        </w:rPr>
      </w:pPr>
      <w:r>
        <w:rPr>
          <w:rFonts w:ascii="Arial" w:cs="Arial" w:eastAsia="Arial" w:hAnsi="Arial"/>
          <w:sz w:val="20"/>
          <w:szCs w:val="20"/>
          <w:i w:val="1"/>
          <w:iCs w:val="1"/>
          <w:color w:val="auto"/>
        </w:rPr>
        <w:t>Meaningful experience in the oversight of executive compensation, corporate governance, and financial reporting</w:t>
      </w:r>
    </w:p>
    <w:p>
      <w:pPr>
        <w:spacing w:after="0" w:line="4588" w:lineRule="exact"/>
        <w:rPr>
          <w:sz w:val="20"/>
          <w:szCs w:val="20"/>
          <w:color w:val="auto"/>
        </w:rPr>
      </w:pPr>
    </w:p>
    <w:p>
      <w:pPr>
        <w:sectPr>
          <w:pgSz w:w="11900" w:h="16914" w:orient="portrait"/>
          <w:cols w:equalWidth="0" w:num="2">
            <w:col w:w="3260" w:space="300"/>
            <w:col w:w="5760"/>
          </w:cols>
          <w:pgMar w:left="1440" w:top="10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415925</wp:posOffset>
            </wp:positionV>
            <wp:extent cx="6810375" cy="3145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3145155"/>
                    </a:xfrm>
                    <a:prstGeom prst="rect">
                      <a:avLst/>
                    </a:prstGeom>
                    <a:noFill/>
                  </pic:spPr>
                </pic:pic>
              </a:graphicData>
            </a:graphic>
          </wp:anchor>
        </w:drawing>
      </w:r>
    </w:p>
    <w:p>
      <w:pPr>
        <w:sectPr>
          <w:pgSz w:w="11900" w:h="16914" w:orient="portrait"/>
          <w:cols w:equalWidth="0" w:num="1">
            <w:col w:w="9320"/>
          </w:cols>
          <w:pgMar w:left="1440" w:top="104"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123054"/>
        </w:rPr>
        <w:t>GRETCHEN W. SCHAR</w:t>
      </w:r>
    </w:p>
    <w:p>
      <w:pPr>
        <w:spacing w:after="0" w:line="83" w:lineRule="exact"/>
        <w:rPr>
          <w:sz w:val="20"/>
          <w:szCs w:val="20"/>
          <w:color w:val="auto"/>
        </w:rPr>
      </w:pPr>
    </w:p>
    <w:p>
      <w:pPr>
        <w:ind w:left="260"/>
        <w:spacing w:after="0" w:line="294"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2019</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70</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Gretchen W. Schar</w:t>
      </w:r>
      <w:r>
        <w:rPr>
          <w:rFonts w:ascii="Arial" w:cs="Arial" w:eastAsia="Arial" w:hAnsi="Arial"/>
          <w:sz w:val="20"/>
          <w:szCs w:val="20"/>
          <w:color w:val="auto"/>
        </w:rPr>
        <w:t>served as Executive Vice President and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and Administrative Officer of Arbonne</w:t>
      </w:r>
    </w:p>
    <w:p>
      <w:pPr>
        <w:spacing w:after="0" w:line="225" w:lineRule="auto"/>
        <w:rPr>
          <w:sz w:val="20"/>
          <w:szCs w:val="20"/>
          <w:color w:val="auto"/>
        </w:rPr>
      </w:pPr>
      <w:r>
        <w:rPr>
          <w:rFonts w:ascii="Arial" w:cs="Arial" w:eastAsia="Arial" w:hAnsi="Arial"/>
          <w:sz w:val="20"/>
          <w:szCs w:val="20"/>
          <w:color w:val="auto"/>
        </w:rPr>
        <w:t>International LLC, a beauty and nutritional products company,</w:t>
      </w:r>
    </w:p>
    <w:p>
      <w:pPr>
        <w:spacing w:after="0"/>
        <w:rPr>
          <w:sz w:val="20"/>
          <w:szCs w:val="20"/>
          <w:color w:val="auto"/>
        </w:rPr>
      </w:pPr>
      <w:r>
        <w:rPr>
          <w:rFonts w:ascii="Arial" w:cs="Arial" w:eastAsia="Arial" w:hAnsi="Arial"/>
          <w:sz w:val="20"/>
          <w:szCs w:val="20"/>
          <w:color w:val="auto"/>
        </w:rPr>
        <w:t>from 2011 until 2018 and from 2008 until 2011 served as</w:t>
      </w:r>
    </w:p>
    <w:p>
      <w:pPr>
        <w:spacing w:after="0"/>
        <w:rPr>
          <w:sz w:val="20"/>
          <w:szCs w:val="20"/>
          <w:color w:val="auto"/>
        </w:rPr>
      </w:pPr>
      <w:r>
        <w:rPr>
          <w:rFonts w:ascii="Arial" w:cs="Arial" w:eastAsia="Arial" w:hAnsi="Arial"/>
          <w:sz w:val="20"/>
          <w:szCs w:val="20"/>
          <w:color w:val="auto"/>
        </w:rPr>
        <w:t>Executive Vice President and Chief Financial Officer of</w:t>
      </w:r>
    </w:p>
    <w:p>
      <w:pPr>
        <w:spacing w:after="0"/>
        <w:rPr>
          <w:sz w:val="20"/>
          <w:szCs w:val="20"/>
          <w:color w:val="auto"/>
        </w:rPr>
      </w:pPr>
      <w:r>
        <w:rPr>
          <w:rFonts w:ascii="Arial" w:cs="Arial" w:eastAsia="Arial" w:hAnsi="Arial"/>
          <w:sz w:val="20"/>
          <w:szCs w:val="20"/>
          <w:color w:val="auto"/>
        </w:rPr>
        <w:t>philosophy, inc., an international prestige beauty brand. Prior</w:t>
      </w:r>
    </w:p>
    <w:p>
      <w:pPr>
        <w:spacing w:after="0" w:line="237" w:lineRule="auto"/>
        <w:rPr>
          <w:sz w:val="20"/>
          <w:szCs w:val="20"/>
          <w:color w:val="auto"/>
        </w:rPr>
      </w:pPr>
      <w:r>
        <w:rPr>
          <w:rFonts w:ascii="Arial" w:cs="Arial" w:eastAsia="Arial" w:hAnsi="Arial"/>
          <w:sz w:val="19"/>
          <w:szCs w:val="19"/>
          <w:color w:val="auto"/>
        </w:rPr>
        <w:t>to that, Ms. Schar spent over 30 years at The Procter &amp; Gamble</w:t>
      </w:r>
    </w:p>
    <w:p>
      <w:pPr>
        <w:spacing w:after="0"/>
        <w:rPr>
          <w:sz w:val="20"/>
          <w:szCs w:val="20"/>
          <w:color w:val="auto"/>
        </w:rPr>
      </w:pPr>
      <w:r>
        <w:rPr>
          <w:rFonts w:ascii="Arial" w:cs="Arial" w:eastAsia="Arial" w:hAnsi="Arial"/>
          <w:sz w:val="20"/>
          <w:szCs w:val="20"/>
          <w:color w:val="auto"/>
        </w:rPr>
        <w:t>Company in finance, general management, and global</w:t>
      </w:r>
    </w:p>
    <w:p>
      <w:pPr>
        <w:spacing w:after="0"/>
        <w:rPr>
          <w:sz w:val="20"/>
          <w:szCs w:val="20"/>
          <w:color w:val="auto"/>
        </w:rPr>
      </w:pPr>
      <w:r>
        <w:rPr>
          <w:rFonts w:ascii="Arial" w:cs="Arial" w:eastAsia="Arial" w:hAnsi="Arial"/>
          <w:sz w:val="20"/>
          <w:szCs w:val="20"/>
          <w:color w:val="auto"/>
        </w:rPr>
        <w:t>operations roles of increasing responsibility.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62" w:lineRule="exact"/>
        <w:rPr>
          <w:sz w:val="20"/>
          <w:szCs w:val="20"/>
          <w:color w:val="auto"/>
        </w:rPr>
      </w:pPr>
    </w:p>
    <w:p>
      <w:pPr>
        <w:ind w:left="360" w:right="220" w:hanging="320"/>
        <w:spacing w:after="0" w:line="227" w:lineRule="auto"/>
        <w:tabs>
          <w:tab w:leader="none" w:pos="360" w:val="left"/>
        </w:tabs>
        <w:numPr>
          <w:ilvl w:val="0"/>
          <w:numId w:val="24"/>
        </w:numPr>
        <w:rPr>
          <w:rFonts w:ascii="Arial" w:cs="Arial" w:eastAsia="Arial" w:hAnsi="Arial"/>
          <w:sz w:val="20"/>
          <w:szCs w:val="20"/>
          <w:i w:val="1"/>
          <w:iCs w:val="1"/>
          <w:color w:val="123054"/>
        </w:rPr>
      </w:pPr>
      <w:r>
        <w:rPr>
          <w:rFonts w:ascii="Arial" w:cs="Arial" w:eastAsia="Arial" w:hAnsi="Arial"/>
          <w:sz w:val="20"/>
          <w:szCs w:val="20"/>
          <w:i w:val="1"/>
          <w:iCs w:val="1"/>
          <w:color w:val="auto"/>
        </w:rPr>
        <w:t>Broad experience in finance, accounting, auditing and financial reporting, capital management, investor relations, and global operations</w:t>
      </w:r>
    </w:p>
    <w:p>
      <w:pPr>
        <w:ind w:left="360" w:right="600" w:hanging="320"/>
        <w:spacing w:after="0" w:line="232" w:lineRule="auto"/>
        <w:tabs>
          <w:tab w:leader="none" w:pos="360" w:val="left"/>
        </w:tabs>
        <w:numPr>
          <w:ilvl w:val="0"/>
          <w:numId w:val="24"/>
        </w:numPr>
        <w:rPr>
          <w:rFonts w:ascii="Arial" w:cs="Arial" w:eastAsia="Arial" w:hAnsi="Arial"/>
          <w:sz w:val="20"/>
          <w:szCs w:val="20"/>
          <w:i w:val="1"/>
          <w:iCs w:val="1"/>
          <w:color w:val="123054"/>
        </w:rPr>
      </w:pPr>
      <w:r>
        <w:rPr>
          <w:rFonts w:ascii="Arial" w:cs="Arial" w:eastAsia="Arial" w:hAnsi="Arial"/>
          <w:sz w:val="20"/>
          <w:szCs w:val="20"/>
          <w:i w:val="1"/>
          <w:iCs w:val="1"/>
          <w:color w:val="auto"/>
        </w:rPr>
        <w:t>Meaningful experience with strategic growth, including mergers and acquisitions</w:t>
      </w:r>
    </w:p>
    <w:p>
      <w:pPr>
        <w:sectPr>
          <w:pgSz w:w="11900" w:h="16914" w:orient="portrait"/>
          <w:cols w:equalWidth="0" w:num="2">
            <w:col w:w="2980" w:space="640"/>
            <w:col w:w="5700"/>
          </w:cols>
          <w:pgMar w:left="1440" w:top="104" w:right="1139" w:bottom="0" w:gutter="0" w:footer="0" w:header="0"/>
          <w:type w:val="continuous"/>
        </w:sectPr>
      </w:pPr>
    </w:p>
    <w:bookmarkStart w:id="13" w:name="page14"/>
    <w:bookmarkEnd w:id="13"/>
    <w:tbl>
      <w:tblPr>
        <w:tblLayout w:type="fixed"/>
        <w:tblInd w:w="220" w:type="dxa"/>
        <w:tblCellMar>
          <w:top w:w="0" w:type="dxa"/>
          <w:left w:w="0" w:type="dxa"/>
          <w:bottom w:w="0" w:type="dxa"/>
          <w:right w:w="0" w:type="dxa"/>
        </w:tblCellMar>
      </w:tblPr>
      <w:tr>
        <w:trPr>
          <w:trHeight w:val="181"/>
        </w:trPr>
        <w:tc>
          <w:tcPr>
            <w:tcW w:w="420" w:type="dxa"/>
            <w:vAlign w:val="bottom"/>
            <w:tcBorders>
              <w:top w:val="single" w:sz="8" w:color="123054"/>
            </w:tcBorders>
            <w:vMerge w:val="restart"/>
          </w:tcPr>
          <w:p>
            <w:pPr>
              <w:ind w:left="280"/>
              <w:spacing w:after="0"/>
              <w:rPr>
                <w:sz w:val="20"/>
                <w:szCs w:val="20"/>
                <w:color w:val="auto"/>
              </w:rPr>
            </w:pPr>
            <w:r>
              <w:rPr>
                <w:rFonts w:ascii="Arial" w:cs="Arial" w:eastAsia="Arial" w:hAnsi="Arial"/>
                <w:sz w:val="20"/>
                <w:szCs w:val="20"/>
                <w:color w:val="123054"/>
              </w:rPr>
              <w:t>•</w:t>
            </w:r>
          </w:p>
        </w:tc>
        <w:tc>
          <w:tcPr>
            <w:tcW w:w="2640" w:type="dxa"/>
            <w:vAlign w:val="bottom"/>
            <w:tcBorders>
              <w:top w:val="single" w:sz="8" w:color="123054"/>
            </w:tcBorders>
            <w:vMerge w:val="restart"/>
          </w:tcPr>
          <w:p>
            <w:pPr>
              <w:ind w:left="80"/>
              <w:spacing w:after="0"/>
              <w:rPr>
                <w:sz w:val="20"/>
                <w:szCs w:val="20"/>
                <w:color w:val="auto"/>
              </w:rPr>
            </w:pPr>
            <w:r>
              <w:rPr>
                <w:rFonts w:ascii="Arial" w:cs="Arial" w:eastAsia="Arial" w:hAnsi="Arial"/>
                <w:sz w:val="20"/>
                <w:szCs w:val="20"/>
                <w:color w:val="auto"/>
              </w:rPr>
              <w:t>Audit (Chair)</w:t>
            </w:r>
          </w:p>
        </w:tc>
        <w:tc>
          <w:tcPr>
            <w:tcW w:w="5600" w:type="dxa"/>
            <w:vAlign w:val="bottom"/>
            <w:tcBorders>
              <w:top w:val="single" w:sz="8" w:color="123054"/>
            </w:tcBorders>
          </w:tcPr>
          <w:p>
            <w:pPr>
              <w:ind w:left="380"/>
              <w:spacing w:after="0" w:line="181" w:lineRule="exact"/>
              <w:rPr>
                <w:sz w:val="20"/>
                <w:szCs w:val="20"/>
                <w:color w:val="auto"/>
              </w:rPr>
            </w:pPr>
            <w:r>
              <w:rPr>
                <w:rFonts w:ascii="Arial" w:cs="Arial" w:eastAsia="Arial" w:hAnsi="Arial"/>
                <w:sz w:val="20"/>
                <w:szCs w:val="20"/>
                <w:i w:val="1"/>
                <w:iCs w:val="1"/>
                <w:color w:val="123054"/>
              </w:rPr>
              <w:t xml:space="preserve">•   </w:t>
            </w:r>
            <w:r>
              <w:rPr>
                <w:rFonts w:ascii="Arial" w:cs="Arial" w:eastAsia="Arial" w:hAnsi="Arial"/>
                <w:sz w:val="20"/>
                <w:szCs w:val="20"/>
                <w:i w:val="1"/>
                <w:iCs w:val="1"/>
                <w:color w:val="000000"/>
              </w:rPr>
              <w:t>Significant public company board oversight experience,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5680" w:type="dxa"/>
            <w:vAlign w:val="bottom"/>
            <w:gridSpan w:val="2"/>
            <w:vMerge w:val="restart"/>
          </w:tcPr>
          <w:p>
            <w:pPr>
              <w:ind w:left="700"/>
              <w:spacing w:after="0" w:line="203" w:lineRule="exact"/>
              <w:rPr>
                <w:sz w:val="20"/>
                <w:szCs w:val="20"/>
                <w:color w:val="auto"/>
              </w:rPr>
            </w:pPr>
            <w:r>
              <w:rPr>
                <w:rFonts w:ascii="Arial" w:cs="Arial" w:eastAsia="Arial" w:hAnsi="Arial"/>
                <w:sz w:val="20"/>
                <w:szCs w:val="20"/>
                <w:i w:val="1"/>
                <w:iCs w:val="1"/>
                <w:color w:val="auto"/>
              </w:rPr>
              <w:t>including in financial and accounting controls, public</w:t>
            </w:r>
          </w:p>
        </w:tc>
        <w:tc>
          <w:tcPr>
            <w:tcW w:w="0" w:type="dxa"/>
            <w:vAlign w:val="bottom"/>
          </w:tcPr>
          <w:p>
            <w:pPr>
              <w:spacing w:after="0"/>
              <w:rPr>
                <w:sz w:val="1"/>
                <w:szCs w:val="1"/>
                <w:color w:val="auto"/>
              </w:rPr>
            </w:pPr>
          </w:p>
        </w:tc>
      </w:tr>
      <w:tr>
        <w:trPr>
          <w:trHeight w:val="135"/>
        </w:trPr>
        <w:tc>
          <w:tcPr>
            <w:tcW w:w="420" w:type="dxa"/>
            <w:vAlign w:val="bottom"/>
            <w:vMerge w:val="restart"/>
          </w:tcPr>
          <w:p>
            <w:pPr>
              <w:ind w:left="280"/>
              <w:spacing w:after="0"/>
              <w:rPr>
                <w:sz w:val="20"/>
                <w:szCs w:val="20"/>
                <w:color w:val="auto"/>
              </w:rPr>
            </w:pPr>
            <w:r>
              <w:rPr>
                <w:rFonts w:ascii="Arial" w:cs="Arial" w:eastAsia="Arial" w:hAnsi="Arial"/>
                <w:sz w:val="20"/>
                <w:szCs w:val="20"/>
                <w:color w:val="123054"/>
              </w:rPr>
              <w:t>•</w:t>
            </w:r>
          </w:p>
        </w:tc>
        <w:tc>
          <w:tcPr>
            <w:tcW w:w="2640" w:type="dxa"/>
            <w:vAlign w:val="bottom"/>
            <w:vMerge w:val="restart"/>
          </w:tcPr>
          <w:p>
            <w:pPr>
              <w:ind w:left="80"/>
              <w:spacing w:after="0"/>
              <w:rPr>
                <w:sz w:val="20"/>
                <w:szCs w:val="20"/>
                <w:color w:val="auto"/>
              </w:rPr>
            </w:pPr>
            <w:r>
              <w:rPr>
                <w:rFonts w:ascii="Arial" w:cs="Arial" w:eastAsia="Arial" w:hAnsi="Arial"/>
                <w:sz w:val="20"/>
                <w:szCs w:val="20"/>
                <w:color w:val="auto"/>
              </w:rPr>
              <w:t>Business Transformation</w:t>
            </w:r>
          </w:p>
        </w:tc>
        <w:tc>
          <w:tcPr>
            <w:tcW w:w="5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 w:type="dxa"/>
            <w:vAlign w:val="bottom"/>
            <w:vMerge w:val="continue"/>
          </w:tcPr>
          <w:p>
            <w:pPr>
              <w:spacing w:after="0"/>
              <w:rPr>
                <w:sz w:val="10"/>
                <w:szCs w:val="10"/>
                <w:color w:val="auto"/>
              </w:rPr>
            </w:pPr>
          </w:p>
        </w:tc>
        <w:tc>
          <w:tcPr>
            <w:tcW w:w="2640" w:type="dxa"/>
            <w:vAlign w:val="bottom"/>
            <w:vMerge w:val="continue"/>
          </w:tcPr>
          <w:p>
            <w:pPr>
              <w:spacing w:after="0"/>
              <w:rPr>
                <w:sz w:val="10"/>
                <w:szCs w:val="10"/>
                <w:color w:val="auto"/>
              </w:rPr>
            </w:pPr>
          </w:p>
        </w:tc>
        <w:tc>
          <w:tcPr>
            <w:tcW w:w="5680" w:type="dxa"/>
            <w:vAlign w:val="bottom"/>
            <w:gridSpan w:val="2"/>
            <w:vMerge w:val="restart"/>
          </w:tcPr>
          <w:p>
            <w:pPr>
              <w:ind w:left="700"/>
              <w:spacing w:after="0" w:line="197" w:lineRule="exact"/>
              <w:rPr>
                <w:sz w:val="20"/>
                <w:szCs w:val="20"/>
                <w:color w:val="auto"/>
              </w:rPr>
            </w:pPr>
            <w:r>
              <w:rPr>
                <w:rFonts w:ascii="Arial" w:cs="Arial" w:eastAsia="Arial" w:hAnsi="Arial"/>
                <w:sz w:val="20"/>
                <w:szCs w:val="20"/>
                <w:i w:val="1"/>
                <w:iCs w:val="1"/>
                <w:color w:val="auto"/>
                <w:w w:val="98"/>
              </w:rPr>
              <w:t>company reporting, engagement with independent public</w:t>
            </w:r>
          </w:p>
        </w:tc>
        <w:tc>
          <w:tcPr>
            <w:tcW w:w="0" w:type="dxa"/>
            <w:vAlign w:val="bottom"/>
          </w:tcPr>
          <w:p>
            <w:pPr>
              <w:spacing w:after="0"/>
              <w:rPr>
                <w:sz w:val="1"/>
                <w:szCs w:val="1"/>
                <w:color w:val="auto"/>
              </w:rPr>
            </w:pPr>
          </w:p>
        </w:tc>
      </w:tr>
      <w:tr>
        <w:trPr>
          <w:trHeight w:val="71"/>
        </w:trPr>
        <w:tc>
          <w:tcPr>
            <w:tcW w:w="30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Other Public Company</w:t>
            </w:r>
          </w:p>
        </w:tc>
        <w:tc>
          <w:tcPr>
            <w:tcW w:w="5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60" w:type="dxa"/>
            <w:vAlign w:val="bottom"/>
            <w:gridSpan w:val="2"/>
            <w:vMerge w:val="continue"/>
          </w:tcPr>
          <w:p>
            <w:pPr>
              <w:spacing w:after="0"/>
              <w:rPr>
                <w:sz w:val="16"/>
                <w:szCs w:val="16"/>
                <w:color w:val="auto"/>
              </w:rPr>
            </w:pPr>
          </w:p>
        </w:tc>
        <w:tc>
          <w:tcPr>
            <w:tcW w:w="5680" w:type="dxa"/>
            <w:vAlign w:val="bottom"/>
            <w:gridSpan w:val="2"/>
          </w:tcPr>
          <w:p>
            <w:pPr>
              <w:ind w:left="700"/>
              <w:spacing w:after="0" w:line="189" w:lineRule="exact"/>
              <w:rPr>
                <w:sz w:val="20"/>
                <w:szCs w:val="20"/>
                <w:color w:val="auto"/>
              </w:rPr>
            </w:pPr>
            <w:r>
              <w:rPr>
                <w:rFonts w:ascii="Arial" w:cs="Arial" w:eastAsia="Arial" w:hAnsi="Arial"/>
                <w:sz w:val="20"/>
                <w:szCs w:val="20"/>
                <w:i w:val="1"/>
                <w:iCs w:val="1"/>
                <w:color w:val="auto"/>
              </w:rPr>
              <w:t>accounting firms, corporate governance, and executive</w:t>
            </w:r>
          </w:p>
        </w:tc>
        <w:tc>
          <w:tcPr>
            <w:tcW w:w="0" w:type="dxa"/>
            <w:vAlign w:val="bottom"/>
          </w:tcPr>
          <w:p>
            <w:pPr>
              <w:spacing w:after="0"/>
              <w:rPr>
                <w:sz w:val="1"/>
                <w:szCs w:val="1"/>
                <w:color w:val="auto"/>
              </w:rPr>
            </w:pPr>
          </w:p>
        </w:tc>
      </w:tr>
      <w:tr>
        <w:trPr>
          <w:trHeight w:val="273"/>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Directorships:</w:t>
            </w:r>
          </w:p>
        </w:tc>
        <w:tc>
          <w:tcPr>
            <w:tcW w:w="5680" w:type="dxa"/>
            <w:vAlign w:val="bottom"/>
            <w:gridSpan w:val="2"/>
          </w:tcPr>
          <w:p>
            <w:pPr>
              <w:ind w:left="700"/>
              <w:spacing w:after="0"/>
              <w:rPr>
                <w:sz w:val="20"/>
                <w:szCs w:val="20"/>
                <w:color w:val="auto"/>
              </w:rPr>
            </w:pPr>
            <w:r>
              <w:rPr>
                <w:rFonts w:ascii="Arial" w:cs="Arial" w:eastAsia="Arial" w:hAnsi="Arial"/>
                <w:sz w:val="20"/>
                <w:szCs w:val="20"/>
                <w:i w:val="1"/>
                <w:iCs w:val="1"/>
                <w:color w:val="auto"/>
              </w:rPr>
              <w:t>compensation</w:t>
            </w: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711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5711190"/>
                    </a:xfrm>
                    <a:prstGeom prst="rect">
                      <a:avLst/>
                    </a:prstGeom>
                    <a:noFill/>
                  </pic:spPr>
                </pic:pic>
              </a:graphicData>
            </a:graphic>
          </wp:anchor>
        </w:drawing>
      </w:r>
    </w:p>
    <w:p>
      <w:pPr>
        <w:ind w:left="720" w:right="6160" w:hanging="221"/>
        <w:spacing w:after="0" w:line="243" w:lineRule="auto"/>
        <w:tabs>
          <w:tab w:leader="none" w:pos="720" w:val="left"/>
        </w:tabs>
        <w:numPr>
          <w:ilvl w:val="0"/>
          <w:numId w:val="25"/>
        </w:numPr>
        <w:rPr>
          <w:rFonts w:ascii="Arial" w:cs="Arial" w:eastAsia="Arial" w:hAnsi="Arial"/>
          <w:sz w:val="20"/>
          <w:szCs w:val="20"/>
          <w:color w:val="123054"/>
        </w:rPr>
      </w:pPr>
      <w:r>
        <w:rPr>
          <w:rFonts w:ascii="Arial" w:cs="Arial" w:eastAsia="Arial" w:hAnsi="Arial"/>
          <w:sz w:val="20"/>
          <w:szCs w:val="20"/>
          <w:color w:val="auto"/>
        </w:rPr>
        <w:t>Cincinnati Financial Corp.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4722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4722495"/>
                    </a:xfrm>
                    <a:prstGeom prst="rect">
                      <a:avLst/>
                    </a:prstGeom>
                    <a:noFill/>
                  </pic:spPr>
                </pic:pic>
              </a:graphicData>
            </a:graphic>
          </wp:anchor>
        </w:drawing>
      </w:r>
    </w:p>
    <w:p>
      <w:pPr>
        <w:sectPr>
          <w:pgSz w:w="11900" w:h="16838" w:orient="portrait"/>
          <w:cols w:equalWidth="0" w:num="1">
            <w:col w:w="9140"/>
          </w:cols>
          <w:pgMar w:left="1440" w:top="120" w:right="1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123054"/>
        </w:rPr>
        <w:t>STEPHANIE P. STAHL</w:t>
      </w:r>
    </w:p>
    <w:p>
      <w:pPr>
        <w:spacing w:after="0" w:line="83" w:lineRule="exact"/>
        <w:rPr>
          <w:sz w:val="20"/>
          <w:szCs w:val="20"/>
          <w:color w:val="auto"/>
        </w:rPr>
      </w:pPr>
    </w:p>
    <w:p>
      <w:pPr>
        <w:ind w:left="260" w:right="40"/>
        <w:spacing w:after="0" w:line="301" w:lineRule="auto"/>
        <w:rPr>
          <w:sz w:val="20"/>
          <w:szCs w:val="20"/>
          <w:color w:val="auto"/>
        </w:rPr>
      </w:pPr>
      <w:r>
        <w:rPr>
          <w:rFonts w:ascii="Arial" w:cs="Arial" w:eastAsia="Arial" w:hAnsi="Arial"/>
          <w:sz w:val="20"/>
          <w:szCs w:val="20"/>
          <w:i w:val="1"/>
          <w:iCs w:val="1"/>
          <w:color w:val="auto"/>
        </w:rPr>
        <w:t>Independent Director</w:t>
      </w:r>
      <w:r>
        <w:rPr>
          <w:rFonts w:ascii="Arial" w:cs="Arial" w:eastAsia="Arial" w:hAnsi="Arial"/>
          <w:sz w:val="20"/>
          <w:szCs w:val="20"/>
          <w:color w:val="auto"/>
        </w:rPr>
        <w:t>since 2022</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Committees:</w:t>
      </w:r>
    </w:p>
    <w:p>
      <w:pPr>
        <w:spacing w:after="0" w:line="123" w:lineRule="exact"/>
        <w:rPr>
          <w:sz w:val="20"/>
          <w:szCs w:val="20"/>
          <w:color w:val="auto"/>
        </w:rPr>
      </w:pPr>
    </w:p>
    <w:p>
      <w:pPr>
        <w:ind w:left="840" w:hanging="236"/>
        <w:spacing w:after="0" w:line="220" w:lineRule="auto"/>
        <w:tabs>
          <w:tab w:leader="none" w:pos="840" w:val="left"/>
        </w:tabs>
        <w:numPr>
          <w:ilvl w:val="0"/>
          <w:numId w:val="26"/>
        </w:numPr>
        <w:rPr>
          <w:rFonts w:ascii="Arial" w:cs="Arial" w:eastAsia="Arial" w:hAnsi="Arial"/>
          <w:sz w:val="20"/>
          <w:szCs w:val="20"/>
          <w:color w:val="123054"/>
        </w:rPr>
      </w:pPr>
      <w:r>
        <w:rPr>
          <w:rFonts w:ascii="Arial" w:cs="Arial" w:eastAsia="Arial" w:hAnsi="Arial"/>
          <w:sz w:val="20"/>
          <w:szCs w:val="20"/>
          <w:color w:val="auto"/>
        </w:rPr>
        <w:t>Business Transformation (Chair)</w:t>
      </w:r>
    </w:p>
    <w:p>
      <w:pPr>
        <w:spacing w:after="0" w:line="1" w:lineRule="exact"/>
        <w:rPr>
          <w:rFonts w:ascii="Arial" w:cs="Arial" w:eastAsia="Arial" w:hAnsi="Arial"/>
          <w:sz w:val="20"/>
          <w:szCs w:val="20"/>
          <w:color w:val="123054"/>
        </w:rPr>
      </w:pPr>
    </w:p>
    <w:p>
      <w:pPr>
        <w:ind w:left="840" w:right="20" w:hanging="236"/>
        <w:spacing w:after="0" w:line="225" w:lineRule="auto"/>
        <w:tabs>
          <w:tab w:leader="none" w:pos="840" w:val="left"/>
        </w:tabs>
        <w:numPr>
          <w:ilvl w:val="0"/>
          <w:numId w:val="26"/>
        </w:numPr>
        <w:rPr>
          <w:rFonts w:ascii="Arial" w:cs="Arial" w:eastAsia="Arial" w:hAnsi="Arial"/>
          <w:sz w:val="20"/>
          <w:szCs w:val="20"/>
          <w:b w:val="1"/>
          <w:bCs w:val="1"/>
          <w:color w:val="123054"/>
        </w:rPr>
      </w:pPr>
      <w:r>
        <w:rPr>
          <w:rFonts w:ascii="Arial" w:cs="Arial" w:eastAsia="Arial" w:hAnsi="Arial"/>
          <w:sz w:val="20"/>
          <w:szCs w:val="20"/>
          <w:color w:val="auto"/>
        </w:rPr>
        <w:t>Compensation &amp; Human Capital</w:t>
      </w:r>
    </w:p>
    <w:p>
      <w:pPr>
        <w:ind w:left="840" w:right="980" w:hanging="235"/>
        <w:spacing w:after="0" w:line="239" w:lineRule="auto"/>
        <w:tabs>
          <w:tab w:leader="none" w:pos="840" w:val="left"/>
        </w:tabs>
        <w:numPr>
          <w:ilvl w:val="0"/>
          <w:numId w:val="26"/>
        </w:numPr>
        <w:rPr>
          <w:rFonts w:ascii="Arial" w:cs="Arial" w:eastAsia="Arial" w:hAnsi="Arial"/>
          <w:sz w:val="20"/>
          <w:szCs w:val="20"/>
          <w:color w:val="123054"/>
        </w:rPr>
      </w:pPr>
      <w:r>
        <w:rPr>
          <w:rFonts w:ascii="Arial" w:cs="Arial" w:eastAsia="Arial" w:hAnsi="Arial"/>
          <w:sz w:val="20"/>
          <w:szCs w:val="20"/>
          <w:color w:val="auto"/>
        </w:rPr>
        <w:t>Nominating &amp; Corporate Governance</w:t>
      </w:r>
    </w:p>
    <w:p>
      <w:pPr>
        <w:spacing w:after="0" w:line="35" w:lineRule="exact"/>
        <w:rPr>
          <w:sz w:val="20"/>
          <w:szCs w:val="20"/>
          <w:color w:val="auto"/>
        </w:rPr>
      </w:pPr>
    </w:p>
    <w:p>
      <w:pPr>
        <w:ind w:left="300" w:right="600"/>
        <w:spacing w:after="0" w:line="282" w:lineRule="auto"/>
        <w:rPr>
          <w:sz w:val="20"/>
          <w:szCs w:val="20"/>
          <w:color w:val="auto"/>
        </w:rPr>
      </w:pPr>
      <w:r>
        <w:rPr>
          <w:rFonts w:ascii="Arial" w:cs="Arial" w:eastAsia="Arial" w:hAnsi="Arial"/>
          <w:sz w:val="19"/>
          <w:szCs w:val="19"/>
          <w:b w:val="1"/>
          <w:bCs w:val="1"/>
          <w:color w:val="auto"/>
        </w:rPr>
        <w:t>Other Public Company Directorships: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i w:val="1"/>
          <w:iCs w:val="1"/>
          <w:color w:val="auto"/>
        </w:rPr>
        <w:t>Stephanie P. Stahl</w:t>
      </w:r>
      <w:r>
        <w:rPr>
          <w:rFonts w:ascii="Arial" w:cs="Arial" w:eastAsia="Arial" w:hAnsi="Arial"/>
          <w:sz w:val="20"/>
          <w:szCs w:val="20"/>
          <w:color w:val="auto"/>
        </w:rPr>
        <w:t>is currently a Senior Advisor and Executive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Coach at the Boston Consulting Group (since 2022), and is a former Global Marketing &amp; Strategy Officer of Coach, Inc, where she served from 2012 through 2015. She is the Founder of her investment and advisory company Studio Pegasus LLC, which she launched in 2015 to focus on supporting early-stage consumer ventures. Ms. Stahl previously held executive positions at several leading retail and consumer products companies and served as a Partner at The Boston Consulting Group from 1992 until 2003.</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Qualifications:</w:t>
      </w:r>
    </w:p>
    <w:p>
      <w:pPr>
        <w:spacing w:after="0" w:line="135" w:lineRule="exact"/>
        <w:rPr>
          <w:sz w:val="20"/>
          <w:szCs w:val="20"/>
          <w:color w:val="auto"/>
        </w:rPr>
      </w:pPr>
    </w:p>
    <w:p>
      <w:pPr>
        <w:ind w:left="360" w:hanging="320"/>
        <w:spacing w:after="0" w:line="217" w:lineRule="auto"/>
        <w:tabs>
          <w:tab w:leader="none" w:pos="360" w:val="left"/>
        </w:tabs>
        <w:numPr>
          <w:ilvl w:val="0"/>
          <w:numId w:val="27"/>
        </w:numPr>
        <w:rPr>
          <w:rFonts w:ascii="Arial" w:cs="Arial" w:eastAsia="Arial" w:hAnsi="Arial"/>
          <w:sz w:val="20"/>
          <w:szCs w:val="20"/>
          <w:i w:val="1"/>
          <w:iCs w:val="1"/>
          <w:color w:val="123054"/>
        </w:rPr>
      </w:pPr>
      <w:r>
        <w:rPr>
          <w:rFonts w:ascii="Arial" w:cs="Arial" w:eastAsia="Arial" w:hAnsi="Arial"/>
          <w:sz w:val="20"/>
          <w:szCs w:val="20"/>
          <w:i w:val="1"/>
          <w:iCs w:val="1"/>
          <w:color w:val="auto"/>
        </w:rPr>
        <w:t>Significant experience in the retail/consumer sector including experience developing, executing, and optimizing major change initiatives including fundamental business transformations, mergers and acquisitions, and post-merger integrations</w:t>
      </w:r>
    </w:p>
    <w:p>
      <w:pPr>
        <w:spacing w:after="0" w:line="4" w:lineRule="exact"/>
        <w:rPr>
          <w:rFonts w:ascii="Arial" w:cs="Arial" w:eastAsia="Arial" w:hAnsi="Arial"/>
          <w:sz w:val="20"/>
          <w:szCs w:val="20"/>
          <w:i w:val="1"/>
          <w:iCs w:val="1"/>
          <w:color w:val="123054"/>
        </w:rPr>
      </w:pPr>
    </w:p>
    <w:p>
      <w:pPr>
        <w:ind w:left="360" w:right="580" w:hanging="320"/>
        <w:spacing w:after="0" w:line="244" w:lineRule="auto"/>
        <w:tabs>
          <w:tab w:leader="none" w:pos="360" w:val="left"/>
        </w:tabs>
        <w:numPr>
          <w:ilvl w:val="0"/>
          <w:numId w:val="27"/>
        </w:numPr>
        <w:rPr>
          <w:rFonts w:ascii="Arial" w:cs="Arial" w:eastAsia="Arial" w:hAnsi="Arial"/>
          <w:sz w:val="19"/>
          <w:szCs w:val="19"/>
          <w:i w:val="1"/>
          <w:iCs w:val="1"/>
          <w:color w:val="123054"/>
        </w:rPr>
      </w:pPr>
      <w:r>
        <w:rPr>
          <w:rFonts w:ascii="Arial" w:cs="Arial" w:eastAsia="Arial" w:hAnsi="Arial"/>
          <w:sz w:val="19"/>
          <w:szCs w:val="19"/>
          <w:i w:val="1"/>
          <w:iCs w:val="1"/>
          <w:color w:val="auto"/>
        </w:rPr>
        <w:t>Deep experience in marketing, data analytics, digital strategy, sustainability, brand building, and strategy</w:t>
      </w:r>
    </w:p>
    <w:p>
      <w:pPr>
        <w:spacing w:after="0" w:line="1" w:lineRule="exact"/>
        <w:rPr>
          <w:rFonts w:ascii="Arial" w:cs="Arial" w:eastAsia="Arial" w:hAnsi="Arial"/>
          <w:sz w:val="19"/>
          <w:szCs w:val="19"/>
          <w:i w:val="1"/>
          <w:iCs w:val="1"/>
          <w:color w:val="123054"/>
        </w:rPr>
      </w:pPr>
    </w:p>
    <w:p>
      <w:pPr>
        <w:ind w:left="360" w:right="660" w:hanging="320"/>
        <w:spacing w:after="0" w:line="249" w:lineRule="auto"/>
        <w:tabs>
          <w:tab w:leader="none" w:pos="360" w:val="left"/>
        </w:tabs>
        <w:numPr>
          <w:ilvl w:val="0"/>
          <w:numId w:val="27"/>
        </w:numPr>
        <w:rPr>
          <w:rFonts w:ascii="Arial" w:cs="Arial" w:eastAsia="Arial" w:hAnsi="Arial"/>
          <w:sz w:val="19"/>
          <w:szCs w:val="19"/>
          <w:i w:val="1"/>
          <w:iCs w:val="1"/>
          <w:color w:val="123054"/>
        </w:rPr>
      </w:pPr>
      <w:r>
        <w:rPr>
          <w:rFonts w:ascii="Arial" w:cs="Arial" w:eastAsia="Arial" w:hAnsi="Arial"/>
          <w:sz w:val="19"/>
          <w:szCs w:val="19"/>
          <w:i w:val="1"/>
          <w:iCs w:val="1"/>
          <w:color w:val="auto"/>
        </w:rPr>
        <w:t>Meaningful experience in the oversight of corporate governance, investor engagement, and ESG</w:t>
      </w:r>
    </w:p>
    <w:p>
      <w:pPr>
        <w:sectPr>
          <w:pgSz w:w="11900" w:h="16838" w:orient="portrait"/>
          <w:cols w:equalWidth="0" w:num="2">
            <w:col w:w="3020" w:space="600"/>
            <w:col w:w="5520"/>
          </w:cols>
          <w:pgMar w:left="1440" w:top="120" w:right="1319" w:bottom="0" w:gutter="0" w:footer="0" w:header="0"/>
          <w:type w:val="continuous"/>
        </w:sectPr>
      </w:pPr>
    </w:p>
    <w:bookmarkStart w:id="14" w:name="page15"/>
    <w:bookmarkEnd w:id="14"/>
    <w:p>
      <w:pPr>
        <w:ind w:left="840" w:hanging="236"/>
        <w:spacing w:after="0"/>
        <w:tabs>
          <w:tab w:leader="none" w:pos="840" w:val="left"/>
        </w:tabs>
        <w:numPr>
          <w:ilvl w:val="0"/>
          <w:numId w:val="28"/>
        </w:numPr>
        <w:rPr>
          <w:rFonts w:ascii="Arial" w:cs="Arial" w:eastAsia="Arial" w:hAnsi="Arial"/>
          <w:sz w:val="20"/>
          <w:szCs w:val="20"/>
          <w:color w:val="123054"/>
        </w:rPr>
      </w:pPr>
      <w:r>
        <w:rPr>
          <w:rFonts w:ascii="Arial" w:cs="Arial" w:eastAsia="Arial" w:hAnsi="Arial"/>
          <w:sz w:val="20"/>
          <w:szCs w:val="20"/>
          <w:color w:val="auto"/>
        </w:rPr>
        <w:t>Dollar Tree, Inc., since 2018</w:t>
      </w:r>
    </w:p>
    <w:p>
      <w:pPr>
        <w:spacing w:after="0" w:line="4" w:lineRule="exact"/>
        <w:rPr>
          <w:rFonts w:ascii="Arial" w:cs="Arial" w:eastAsia="Arial" w:hAnsi="Arial"/>
          <w:sz w:val="20"/>
          <w:szCs w:val="20"/>
          <w:color w:val="123054"/>
        </w:rPr>
      </w:pPr>
    </w:p>
    <w:p>
      <w:pPr>
        <w:ind w:left="840" w:right="6280" w:hanging="236"/>
        <w:spacing w:after="0" w:line="211" w:lineRule="auto"/>
        <w:tabs>
          <w:tab w:leader="none" w:pos="840" w:val="left"/>
        </w:tabs>
        <w:numPr>
          <w:ilvl w:val="0"/>
          <w:numId w:val="28"/>
        </w:numPr>
        <w:rPr>
          <w:rFonts w:ascii="Arial" w:cs="Arial" w:eastAsia="Arial" w:hAnsi="Arial"/>
          <w:sz w:val="20"/>
          <w:szCs w:val="20"/>
          <w:color w:val="123054"/>
        </w:rPr>
      </w:pPr>
      <w:r>
        <w:rPr>
          <w:rFonts w:ascii="Arial" w:cs="Arial" w:eastAsia="Arial" w:hAnsi="Arial"/>
          <w:sz w:val="20"/>
          <w:szCs w:val="20"/>
          <w:color w:val="auto"/>
        </w:rPr>
        <w:t>Newell Brands, Inc., since 2023</w:t>
      </w:r>
    </w:p>
    <w:p>
      <w:pPr>
        <w:ind w:left="840" w:right="6440" w:hanging="236"/>
        <w:spacing w:after="0" w:line="237" w:lineRule="auto"/>
        <w:tabs>
          <w:tab w:leader="none" w:pos="840" w:val="left"/>
        </w:tabs>
        <w:numPr>
          <w:ilvl w:val="0"/>
          <w:numId w:val="28"/>
        </w:numPr>
        <w:rPr>
          <w:rFonts w:ascii="Arial" w:cs="Arial" w:eastAsia="Arial" w:hAnsi="Arial"/>
          <w:sz w:val="19"/>
          <w:szCs w:val="19"/>
          <w:color w:val="123054"/>
        </w:rPr>
      </w:pPr>
      <w:r>
        <w:rPr>
          <w:rFonts w:ascii="Arial" w:cs="Arial" w:eastAsia="Arial" w:hAnsi="Arial"/>
          <w:sz w:val="19"/>
          <w:szCs w:val="19"/>
          <w:color w:val="auto"/>
        </w:rPr>
        <w:t>Edgewell Personal Care Company,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-656590</wp:posOffset>
            </wp:positionV>
            <wp:extent cx="6810375" cy="4133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413385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b w:val="1"/>
          <w:bCs w:val="1"/>
          <w:color w:val="auto"/>
        </w:rPr>
        <w:t>Prior Public Company</w:t>
      </w:r>
    </w:p>
    <w:p>
      <w:pPr>
        <w:ind w:left="300"/>
        <w:spacing w:after="0"/>
        <w:rPr>
          <w:sz w:val="20"/>
          <w:szCs w:val="20"/>
          <w:color w:val="auto"/>
        </w:rPr>
      </w:pPr>
      <w:r>
        <w:rPr>
          <w:rFonts w:ascii="Arial" w:cs="Arial" w:eastAsia="Arial" w:hAnsi="Arial"/>
          <w:sz w:val="20"/>
          <w:szCs w:val="20"/>
          <w:b w:val="1"/>
          <w:bCs w:val="1"/>
          <w:color w:val="auto"/>
        </w:rPr>
        <w:t>Directorships:</w:t>
      </w:r>
    </w:p>
    <w:p>
      <w:pPr>
        <w:ind w:left="840" w:hanging="235"/>
        <w:spacing w:after="0"/>
        <w:tabs>
          <w:tab w:leader="none" w:pos="840" w:val="left"/>
        </w:tabs>
        <w:numPr>
          <w:ilvl w:val="0"/>
          <w:numId w:val="29"/>
        </w:numPr>
        <w:rPr>
          <w:rFonts w:ascii="Arial" w:cs="Arial" w:eastAsia="Arial" w:hAnsi="Arial"/>
          <w:sz w:val="20"/>
          <w:szCs w:val="20"/>
          <w:color w:val="123054"/>
        </w:rPr>
      </w:pPr>
      <w:r>
        <w:rPr>
          <w:rFonts w:ascii="Arial" w:cs="Arial" w:eastAsia="Arial" w:hAnsi="Arial"/>
          <w:sz w:val="20"/>
          <w:szCs w:val="20"/>
          <w:color w:val="auto"/>
        </w:rPr>
        <w:t>Knoll, Inc. (2013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299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BOARD LEADERSHIP STRUCTURE</w:t>
      </w:r>
    </w:p>
    <w:p>
      <w:pPr>
        <w:spacing w:after="0" w:line="159" w:lineRule="exact"/>
        <w:rPr>
          <w:sz w:val="20"/>
          <w:szCs w:val="20"/>
          <w:color w:val="auto"/>
        </w:rPr>
      </w:pPr>
    </w:p>
    <w:p>
      <w:pPr>
        <w:ind w:left="140"/>
        <w:spacing w:after="0" w:line="238" w:lineRule="auto"/>
        <w:rPr>
          <w:sz w:val="20"/>
          <w:szCs w:val="20"/>
          <w:color w:val="auto"/>
        </w:rPr>
      </w:pPr>
      <w:r>
        <w:rPr>
          <w:rFonts w:ascii="Arial" w:cs="Arial" w:eastAsia="Arial" w:hAnsi="Arial"/>
          <w:sz w:val="20"/>
          <w:szCs w:val="20"/>
          <w:color w:val="auto"/>
        </w:rPr>
        <w:t>Carter’s Corporate Governance Principles provide that the positions of Chairman and Chief Executive Officer may be combined if the non-management directors determine it is in the best interest of Carter's. While Carter's had previously combined the Chief Executive Officer and Chairman of the Board roles since 2009, in connection with Mr. Casey's retirement as an officer and director in January 2025, Mr. Montgoris, who has served as our Lead Independent Director since May 2022, was appointed as Non-Executive Chairman. The Board currently believes that a separate Chairman and Chief Executive Officer leadership structure is appropriate at this time to enable the Chief Executive Officer to focus on executing on the strategic direction and operation of the Company, while allowing the Non-Executive Chairman to focus on day-to-day management of Board matters. However, the Board may choose to change this separation of roles if it determines to be best for the Company under the then existing circumstances. Should the Chairman of the Board position be held by the CEO, the Board will appoint a lead independent director as required under the Company's Corporate Governance Principles.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DIRECTOR INDEPENDENCE</w:t>
      </w:r>
    </w:p>
    <w:p>
      <w:pPr>
        <w:spacing w:after="0" w:line="172" w:lineRule="exact"/>
        <w:rPr>
          <w:sz w:val="20"/>
          <w:szCs w:val="20"/>
          <w:color w:val="auto"/>
        </w:rPr>
      </w:pPr>
    </w:p>
    <w:p>
      <w:pPr>
        <w:ind w:left="140" w:right="100"/>
        <w:spacing w:after="0"/>
        <w:rPr>
          <w:sz w:val="20"/>
          <w:szCs w:val="20"/>
          <w:color w:val="auto"/>
        </w:rPr>
      </w:pPr>
      <w:r>
        <w:rPr>
          <w:rFonts w:ascii="Arial" w:cs="Arial" w:eastAsia="Arial" w:hAnsi="Arial"/>
          <w:sz w:val="20"/>
          <w:szCs w:val="20"/>
          <w:color w:val="auto"/>
        </w:rPr>
        <w:t>The New York Stock Exchange (“NYSE”) listing standards and Carter’s Corporate Governance Principles require a majority of Carter’s directors to be independent from Carter's and Carter’s management. For a director to be considered independent, the Board must determine that the director has no direct or indirect material relationship with Carter's. The Board considers all relevant information provided by each director regarding any relationships each director may have with Carter's or management. As a result of this review, our Board has determined that all of our current directors are independent and meet the independence requirements under the listing standards of the NYSE, the rules and regulations of the U.S. Securities and Exchange Commission (the “SEC”), and Carter’s Corporate Governance Principles.</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BOARD AND COMMITTEE EVALUATIONS</w:t>
      </w:r>
    </w:p>
    <w:p>
      <w:pPr>
        <w:spacing w:after="0" w:line="186" w:lineRule="exact"/>
        <w:rPr>
          <w:sz w:val="20"/>
          <w:szCs w:val="20"/>
          <w:color w:val="auto"/>
        </w:rPr>
      </w:pPr>
    </w:p>
    <w:p>
      <w:pPr>
        <w:ind w:left="140" w:right="120"/>
        <w:spacing w:after="0" w:line="260" w:lineRule="auto"/>
        <w:rPr>
          <w:sz w:val="20"/>
          <w:szCs w:val="20"/>
          <w:color w:val="auto"/>
        </w:rPr>
      </w:pPr>
      <w:r>
        <w:rPr>
          <w:rFonts w:ascii="Arial" w:cs="Arial" w:eastAsia="Arial" w:hAnsi="Arial"/>
          <w:sz w:val="19"/>
          <w:szCs w:val="19"/>
          <w:color w:val="auto"/>
        </w:rPr>
        <w:t>The Board recognizes that a robust and constructive evaluation process is an essential component of good corporate governance and Board and committee effectiveness. Through this process, directors provide feedback and assess Board, committee and director performance, including areas where the Board believes it is functioning effectively and areas where the Board believes it can improve. The Board and the committees may, from time to time, engage outside third parties to help with this process.</w:t>
      </w:r>
    </w:p>
    <w:p>
      <w:pPr>
        <w:spacing w:after="0" w:line="153" w:lineRule="exact"/>
        <w:rPr>
          <w:sz w:val="20"/>
          <w:szCs w:val="20"/>
          <w:color w:val="auto"/>
        </w:rPr>
      </w:pPr>
    </w:p>
    <w:p>
      <w:pPr>
        <w:ind w:left="140" w:right="180"/>
        <w:spacing w:after="0" w:line="245" w:lineRule="auto"/>
        <w:rPr>
          <w:sz w:val="20"/>
          <w:szCs w:val="20"/>
          <w:color w:val="auto"/>
        </w:rPr>
      </w:pPr>
      <w:r>
        <w:rPr>
          <w:rFonts w:ascii="Arial" w:cs="Arial" w:eastAsia="Arial" w:hAnsi="Arial"/>
          <w:sz w:val="20"/>
          <w:szCs w:val="20"/>
          <w:color w:val="auto"/>
        </w:rPr>
        <w:t>In fiscal 2024, under the leadership of Mr. Montgoris, the Nominating &amp; Corporate Governance Committee oversaw the Board’s annual evaluation process, which focused on the Board as a whole and each of the committees, as well as individual peer-to-peer assessments. These assessments were facilitated by Carter's legal department and included individual interviews with each director with</w:t>
      </w:r>
    </w:p>
    <w:p>
      <w:pPr>
        <w:sectPr>
          <w:pgSz w:w="11900" w:h="16838" w:orient="portrait"/>
          <w:cols w:equalWidth="0" w:num="1">
            <w:col w:w="9400"/>
          </w:cols>
          <w:pgMar w:left="1440" w:top="104" w:right="1059" w:bottom="0" w:gutter="0" w:footer="0" w:header="0"/>
        </w:sectPr>
      </w:pPr>
    </w:p>
    <w:bookmarkStart w:id="15" w:name="page16"/>
    <w:bookmarkEnd w:id="15"/>
    <w:p>
      <w:pPr>
        <w:ind w:left="140"/>
        <w:spacing w:after="0"/>
        <w:rPr>
          <w:sz w:val="20"/>
          <w:szCs w:val="20"/>
          <w:color w:val="auto"/>
        </w:rPr>
      </w:pPr>
      <w:r>
        <w:rPr>
          <w:rFonts w:ascii="Arial" w:cs="Arial" w:eastAsia="Arial" w:hAnsi="Arial"/>
          <w:sz w:val="20"/>
          <w:szCs w:val="20"/>
          <w:color w:val="auto"/>
        </w:rPr>
        <w:t>feedback given to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810375" cy="255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255651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RETIREMENT POLICY</w:t>
      </w:r>
    </w:p>
    <w:p>
      <w:pPr>
        <w:spacing w:after="0" w:line="164" w:lineRule="exact"/>
        <w:rPr>
          <w:sz w:val="20"/>
          <w:szCs w:val="20"/>
          <w:color w:val="auto"/>
        </w:rPr>
      </w:pPr>
    </w:p>
    <w:p>
      <w:pPr>
        <w:ind w:left="140" w:right="80"/>
        <w:spacing w:after="0" w:line="262" w:lineRule="auto"/>
        <w:rPr>
          <w:sz w:val="20"/>
          <w:szCs w:val="20"/>
          <w:color w:val="auto"/>
        </w:rPr>
      </w:pPr>
      <w:r>
        <w:rPr>
          <w:rFonts w:ascii="Arial" w:cs="Arial" w:eastAsia="Arial" w:hAnsi="Arial"/>
          <w:sz w:val="19"/>
          <w:szCs w:val="19"/>
          <w:color w:val="auto"/>
        </w:rPr>
        <w:t>Our Corporate Governance Principles include a retirement policy providing that each independent director’s retirement will be automatic at the annual meeting of shareholders following such director reaching the age of seventy-five (75), and no person shall be eligible for nomination or election as an independent director after reaching the age of seventy-five (75), subject to the following exceptions:</w:t>
      </w:r>
    </w:p>
    <w:p>
      <w:pPr>
        <w:spacing w:after="0" w:line="58" w:lineRule="exact"/>
        <w:rPr>
          <w:sz w:val="20"/>
          <w:szCs w:val="20"/>
          <w:color w:val="auto"/>
        </w:rPr>
      </w:pPr>
    </w:p>
    <w:p>
      <w:pPr>
        <w:ind w:left="620" w:hanging="387"/>
        <w:spacing w:after="0" w:line="244" w:lineRule="auto"/>
        <w:tabs>
          <w:tab w:leader="none" w:pos="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connection with Mr. Casey's retirement and Mr. Montgoris' appointment as Non-Executive Chairman, the Board approved an amendment to its Corporate Governance Principles to extend the retirement date for Mr. Montgoris to coincide with the annual meeting of shareholders following his seventy-ninth (79th) birthday (in 2026) to the extent he is still serving as a director at such time; and</w:t>
      </w: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787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787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 w:right="100" w:hanging="387"/>
        <w:spacing w:after="0"/>
        <w:tabs>
          <w:tab w:leader="none" w:pos="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Board may waive this policy with respect to an individual upon the recommendation of the Nominating &amp; Corporate Governance Committee. A waiver may be granted on a case-by-case basis for any reasonable purpose including, but not limited to, the particular skills and experiences the director brings to the Board, the director’s past performance and ability to continue to constructively contribute going forward, and the then-current composition of the Board. The affected director shall not participate in any vote regarding the waiver if he or she is an incumbent director.</w:t>
      </w:r>
    </w:p>
    <w:p>
      <w:pPr>
        <w:spacing w:after="0" w:line="172" w:lineRule="exact"/>
        <w:rPr>
          <w:sz w:val="20"/>
          <w:szCs w:val="20"/>
          <w:color w:val="auto"/>
        </w:rPr>
      </w:pPr>
    </w:p>
    <w:p>
      <w:pPr>
        <w:ind w:left="140"/>
        <w:spacing w:after="0" w:line="243" w:lineRule="auto"/>
        <w:rPr>
          <w:sz w:val="20"/>
          <w:szCs w:val="20"/>
          <w:color w:val="auto"/>
        </w:rPr>
      </w:pPr>
      <w:r>
        <w:rPr>
          <w:rFonts w:ascii="Arial" w:cs="Arial" w:eastAsia="Arial" w:hAnsi="Arial"/>
          <w:sz w:val="20"/>
          <w:szCs w:val="20"/>
          <w:color w:val="auto"/>
        </w:rPr>
        <w:t>The Board determined that the above exception was appropriate in order to promote continuity of experience on the Board in the short- term by allowing Mr. Montgoris to serve beyond his seventy-fifth (75th) birthday if the Nominating &amp; Corporate Governance Committee and the Board determine it is otherwise appropriate. More broadly, the Board, as recommended by the Nominating &amp; Corporate Governance Committee, may use reasonable discretion to allow a director to serve past his or her seventy-fifth (75th) birthday in the future.</w:t>
      </w:r>
    </w:p>
    <w:p>
      <w:pPr>
        <w:sectPr>
          <w:pgSz w:w="11900" w:h="16838" w:orient="portrait"/>
          <w:cols w:equalWidth="0" w:num="1">
            <w:col w:w="9020"/>
          </w:cols>
          <w:pgMar w:left="1440" w:top="104" w:right="1439" w:bottom="1440" w:gutter="0" w:footer="0" w:header="0"/>
        </w:sectPr>
      </w:pPr>
    </w:p>
    <w:bookmarkStart w:id="16" w:name="page17"/>
    <w:bookmarkEnd w:id="16"/>
    <w:p>
      <w:pPr>
        <w:ind w:left="4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79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979170"/>
                    </a:xfrm>
                    <a:prstGeom prst="rect">
                      <a:avLst/>
                    </a:prstGeom>
                    <a:noFill/>
                  </pic:spPr>
                </pic:pic>
              </a:graphicData>
            </a:graphic>
          </wp:anchor>
        </w:drawing>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360"/>
          </w:cols>
          <w:pgMar w:left="1440" w:top="971" w:right="1099"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BOARD AND ANNUAL MEETINGS</w:t>
      </w:r>
    </w:p>
    <w:p>
      <w:pPr>
        <w:spacing w:after="0" w:line="159" w:lineRule="exact"/>
        <w:rPr>
          <w:sz w:val="20"/>
          <w:szCs w:val="20"/>
          <w:color w:val="auto"/>
        </w:rPr>
      </w:pPr>
    </w:p>
    <w:p>
      <w:pPr>
        <w:jc w:val="both"/>
        <w:ind w:left="140" w:right="460"/>
        <w:spacing w:after="0" w:line="245" w:lineRule="auto"/>
        <w:rPr>
          <w:sz w:val="20"/>
          <w:szCs w:val="20"/>
          <w:color w:val="auto"/>
        </w:rPr>
      </w:pPr>
      <w:r>
        <w:rPr>
          <w:rFonts w:ascii="Arial" w:cs="Arial" w:eastAsia="Arial" w:hAnsi="Arial"/>
          <w:sz w:val="20"/>
          <w:szCs w:val="20"/>
          <w:color w:val="auto"/>
        </w:rPr>
        <w:t>Our Corporate Governance Principles require at least four regularly scheduled Board meetings each year, and each director is expected to attend each meeting. The Board held four regularly scheduled quarterly meetings during fiscal2024; and held eleven additional special meetings to discuss business developments and the overall strategy and performance of Carter's.</w:t>
      </w:r>
    </w:p>
    <w:p>
      <w:pPr>
        <w:spacing w:after="0" w:line="168" w:lineRule="exact"/>
        <w:rPr>
          <w:sz w:val="20"/>
          <w:szCs w:val="20"/>
          <w:color w:val="auto"/>
        </w:rPr>
      </w:pPr>
    </w:p>
    <w:p>
      <w:pPr>
        <w:ind w:left="140" w:right="540"/>
        <w:spacing w:after="0" w:line="257" w:lineRule="auto"/>
        <w:rPr>
          <w:sz w:val="20"/>
          <w:szCs w:val="20"/>
          <w:color w:val="auto"/>
        </w:rPr>
      </w:pPr>
      <w:r>
        <w:rPr>
          <w:rFonts w:ascii="Arial" w:cs="Arial" w:eastAsia="Arial" w:hAnsi="Arial"/>
          <w:sz w:val="20"/>
          <w:szCs w:val="20"/>
          <w:color w:val="auto"/>
        </w:rPr>
        <w:t>In fiscal 2024, no director participated in less than 75% of the aggregate number of all the Board and applicable committee meetings that they were eligible to attend.</w:t>
      </w:r>
    </w:p>
    <w:p>
      <w:pPr>
        <w:spacing w:after="0" w:line="155" w:lineRule="exact"/>
        <w:rPr>
          <w:sz w:val="20"/>
          <w:szCs w:val="20"/>
          <w:color w:val="auto"/>
        </w:rPr>
      </w:pPr>
    </w:p>
    <w:p>
      <w:pPr>
        <w:ind w:left="140"/>
        <w:spacing w:after="0" w:line="255" w:lineRule="auto"/>
        <w:rPr>
          <w:sz w:val="20"/>
          <w:szCs w:val="20"/>
          <w:color w:val="auto"/>
        </w:rPr>
      </w:pPr>
      <w:r>
        <w:rPr>
          <w:rFonts w:ascii="Arial" w:cs="Arial" w:eastAsia="Arial" w:hAnsi="Arial"/>
          <w:sz w:val="20"/>
          <w:szCs w:val="20"/>
          <w:color w:val="auto"/>
        </w:rPr>
        <w:t>Although Carter's does not have a policy regarding director attendance at annual meetings of shareholders, all directors are encouraged to attend the Annual Meeting. All of the directors then standing for election attended Carter’s virtual annual meeting of shareholders in fiscal2024.</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EXECUTIVE SESSIONS</w:t>
      </w:r>
    </w:p>
    <w:p>
      <w:pPr>
        <w:spacing w:after="0" w:line="172" w:lineRule="exact"/>
        <w:rPr>
          <w:sz w:val="20"/>
          <w:szCs w:val="20"/>
          <w:color w:val="auto"/>
        </w:rPr>
      </w:pPr>
    </w:p>
    <w:p>
      <w:pPr>
        <w:ind w:left="140" w:right="240"/>
        <w:spacing w:after="0" w:line="255" w:lineRule="auto"/>
        <w:rPr>
          <w:sz w:val="20"/>
          <w:szCs w:val="20"/>
          <w:color w:val="auto"/>
        </w:rPr>
      </w:pPr>
      <w:r>
        <w:rPr>
          <w:rFonts w:ascii="Arial" w:cs="Arial" w:eastAsia="Arial" w:hAnsi="Arial"/>
          <w:sz w:val="20"/>
          <w:szCs w:val="20"/>
          <w:color w:val="auto"/>
        </w:rPr>
        <w:t>Executive sessions of non-management directors are held at least four times a year. Any non-management director can request that additional executive sessions be scheduled. The Non-Executive Chairman presides at the executive sessions of non-management directors.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BOARD COMMITTEES</w:t>
      </w:r>
    </w:p>
    <w:p>
      <w:pPr>
        <w:spacing w:after="0" w:line="159" w:lineRule="exact"/>
        <w:rPr>
          <w:sz w:val="20"/>
          <w:szCs w:val="20"/>
          <w:color w:val="auto"/>
        </w:rPr>
      </w:pPr>
    </w:p>
    <w:p>
      <w:pPr>
        <w:ind w:left="140" w:right="420"/>
        <w:spacing w:after="0" w:line="245" w:lineRule="auto"/>
        <w:rPr>
          <w:sz w:val="20"/>
          <w:szCs w:val="20"/>
          <w:color w:val="auto"/>
        </w:rPr>
      </w:pPr>
      <w:r>
        <w:rPr>
          <w:rFonts w:ascii="Arial" w:cs="Arial" w:eastAsia="Arial" w:hAnsi="Arial"/>
          <w:sz w:val="20"/>
          <w:szCs w:val="20"/>
          <w:color w:val="auto"/>
        </w:rPr>
        <w:t>Our Board has the following standing committees: the Audit Committee, the Compensation &amp; Human Capital Committee, the Nominating &amp; Corporate Governance Committee, and the Business Transformation Committee (formed in September 2024). The Board may also establish other committees to assist in the discharge of its responsibilities.</w:t>
      </w:r>
    </w:p>
    <w:p>
      <w:pPr>
        <w:spacing w:after="0" w:line="181" w:lineRule="exact"/>
        <w:rPr>
          <w:sz w:val="20"/>
          <w:szCs w:val="20"/>
          <w:color w:val="auto"/>
        </w:rPr>
      </w:pPr>
    </w:p>
    <w:p>
      <w:pPr>
        <w:ind w:left="140" w:right="20"/>
        <w:spacing w:after="0" w:line="244" w:lineRule="auto"/>
        <w:rPr>
          <w:sz w:val="20"/>
          <w:szCs w:val="20"/>
          <w:color w:val="auto"/>
        </w:rPr>
      </w:pPr>
      <w:r>
        <w:rPr>
          <w:rFonts w:ascii="Arial" w:cs="Arial" w:eastAsia="Arial" w:hAnsi="Arial"/>
          <w:sz w:val="20"/>
          <w:szCs w:val="20"/>
          <w:color w:val="auto"/>
        </w:rPr>
        <w:t>All members of each committee are independent directors. Each committee operates under a written charter, a current copy of which is available on the Investor Relations section of our website at ir.carters.com, or in print by contacting Mr. Robinson at Carter's address: 3438 Peachtree Road NE, Suite 1800, Atlanta, Georgia 30326. In fulfilling the oversight and other responsibilities delegated by the Board, each Committee:</w:t>
      </w:r>
    </w:p>
    <w:p>
      <w:pPr>
        <w:spacing w:after="0" w:line="73" w:lineRule="exact"/>
        <w:rPr>
          <w:sz w:val="20"/>
          <w:szCs w:val="20"/>
          <w:color w:val="auto"/>
        </w:rPr>
      </w:pPr>
    </w:p>
    <w:p>
      <w:pPr>
        <w:ind w:left="420" w:hanging="187"/>
        <w:spacing w:after="0"/>
        <w:tabs>
          <w:tab w:leader="none" w:pos="420" w:val="left"/>
        </w:tabs>
        <w:numPr>
          <w:ilvl w:val="0"/>
          <w:numId w:val="32"/>
        </w:numPr>
        <w:rPr>
          <w:rFonts w:ascii="Arial" w:cs="Arial" w:eastAsia="Arial" w:hAnsi="Arial"/>
          <w:sz w:val="20"/>
          <w:szCs w:val="20"/>
          <w:color w:val="40AEFF"/>
        </w:rPr>
      </w:pPr>
      <w:r>
        <w:rPr>
          <w:rFonts w:ascii="Arial" w:cs="Arial" w:eastAsia="Arial" w:hAnsi="Arial"/>
          <w:sz w:val="20"/>
          <w:szCs w:val="20"/>
          <w:color w:val="auto"/>
        </w:rPr>
        <w:t>provides the Board with regular reports of its activities;</w:t>
      </w:r>
    </w:p>
    <w:p>
      <w:pPr>
        <w:spacing w:after="0" w:line="107" w:lineRule="exact"/>
        <w:rPr>
          <w:rFonts w:ascii="Arial" w:cs="Arial" w:eastAsia="Arial" w:hAnsi="Arial"/>
          <w:sz w:val="20"/>
          <w:szCs w:val="20"/>
          <w:color w:val="40AEFF"/>
        </w:rPr>
      </w:pPr>
    </w:p>
    <w:p>
      <w:pPr>
        <w:ind w:left="420" w:hanging="187"/>
        <w:spacing w:after="0"/>
        <w:tabs>
          <w:tab w:leader="none" w:pos="420" w:val="left"/>
        </w:tabs>
        <w:numPr>
          <w:ilvl w:val="0"/>
          <w:numId w:val="32"/>
        </w:numPr>
        <w:rPr>
          <w:rFonts w:ascii="Arial" w:cs="Arial" w:eastAsia="Arial" w:hAnsi="Arial"/>
          <w:sz w:val="20"/>
          <w:szCs w:val="20"/>
          <w:color w:val="40AEFF"/>
        </w:rPr>
      </w:pPr>
      <w:r>
        <w:rPr>
          <w:rFonts w:ascii="Arial" w:cs="Arial" w:eastAsia="Arial" w:hAnsi="Arial"/>
          <w:sz w:val="20"/>
          <w:szCs w:val="20"/>
          <w:color w:val="auto"/>
        </w:rPr>
        <w:t>has the sole authority to retain or terminate its consultants and other advisors;</w:t>
      </w:r>
    </w:p>
    <w:p>
      <w:pPr>
        <w:spacing w:after="0" w:line="175" w:lineRule="exact"/>
        <w:rPr>
          <w:rFonts w:ascii="Arial" w:cs="Arial" w:eastAsia="Arial" w:hAnsi="Arial"/>
          <w:sz w:val="20"/>
          <w:szCs w:val="20"/>
          <w:color w:val="40AEFF"/>
        </w:rPr>
      </w:pPr>
    </w:p>
    <w:p>
      <w:pPr>
        <w:ind w:left="420" w:hanging="187"/>
        <w:spacing w:after="0"/>
        <w:tabs>
          <w:tab w:leader="none" w:pos="420" w:val="left"/>
        </w:tabs>
        <w:numPr>
          <w:ilvl w:val="0"/>
          <w:numId w:val="32"/>
        </w:numPr>
        <w:rPr>
          <w:rFonts w:ascii="Arial" w:cs="Arial" w:eastAsia="Arial" w:hAnsi="Arial"/>
          <w:sz w:val="20"/>
          <w:szCs w:val="20"/>
          <w:color w:val="2E8BD3"/>
        </w:rPr>
      </w:pPr>
      <w:r>
        <w:rPr>
          <w:rFonts w:ascii="Arial" w:cs="Arial" w:eastAsia="Arial" w:hAnsi="Arial"/>
          <w:sz w:val="20"/>
          <w:szCs w:val="20"/>
          <w:color w:val="auto"/>
        </w:rPr>
        <w:t>receives appropriate funding to pay for necessary resources and administrative expenses; and</w:t>
      </w:r>
    </w:p>
    <w:p>
      <w:pPr>
        <w:spacing w:after="0" w:line="175" w:lineRule="exact"/>
        <w:rPr>
          <w:rFonts w:ascii="Arial" w:cs="Arial" w:eastAsia="Arial" w:hAnsi="Arial"/>
          <w:sz w:val="20"/>
          <w:szCs w:val="20"/>
          <w:color w:val="2E8BD3"/>
        </w:rPr>
      </w:pPr>
    </w:p>
    <w:p>
      <w:pPr>
        <w:ind w:left="420" w:hanging="187"/>
        <w:spacing w:after="0"/>
        <w:tabs>
          <w:tab w:leader="none" w:pos="420" w:val="left"/>
        </w:tabs>
        <w:numPr>
          <w:ilvl w:val="0"/>
          <w:numId w:val="32"/>
        </w:numPr>
        <w:rPr>
          <w:rFonts w:ascii="Arial" w:cs="Arial" w:eastAsia="Arial" w:hAnsi="Arial"/>
          <w:sz w:val="20"/>
          <w:szCs w:val="20"/>
          <w:color w:val="2E8BD3"/>
        </w:rPr>
      </w:pPr>
      <w:r>
        <w:rPr>
          <w:rFonts w:ascii="Arial" w:cs="Arial" w:eastAsia="Arial" w:hAnsi="Arial"/>
          <w:sz w:val="20"/>
          <w:szCs w:val="20"/>
          <w:color w:val="auto"/>
        </w:rPr>
        <w:t>annually evaluates its performance.</w:t>
      </w:r>
    </w:p>
    <w:p>
      <w:pPr>
        <w:sectPr>
          <w:pgSz w:w="11900" w:h="16838" w:orient="portrait"/>
          <w:cols w:equalWidth="0" w:num="1">
            <w:col w:w="9360"/>
          </w:cols>
          <w:pgMar w:left="1440" w:top="971" w:right="1099" w:bottom="10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04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504825"/>
                    </a:xfrm>
                    <a:prstGeom prst="rect">
                      <a:avLst/>
                    </a:prstGeom>
                    <a:noFill/>
                  </pic:spPr>
                </pic:pic>
              </a:graphicData>
            </a:graphic>
          </wp:anchor>
        </w:drawing>
      </w:r>
    </w:p>
    <w:p>
      <w:pPr>
        <w:sectPr>
          <w:pgSz w:w="11900" w:h="16838" w:orient="portrait"/>
          <w:cols w:equalWidth="0" w:num="1">
            <w:col w:w="9360"/>
          </w:cols>
          <w:pgMar w:left="1440" w:top="971" w:right="1099" w:bottom="1013"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351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835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2082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20821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774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677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3659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36595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196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519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236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5236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619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361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6814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6814185"/>
                    </a:xfrm>
                    <a:prstGeom prst="rect">
                      <a:avLst/>
                    </a:prstGeom>
                    <a:noFill/>
                  </pic:spPr>
                </pic:pic>
              </a:graphicData>
            </a:graphic>
          </wp:anchor>
        </w:drawing>
      </w:r>
    </w:p>
    <w:p>
      <w:pPr>
        <w:sectPr>
          <w:pgSz w:w="11900" w:h="16838" w:orient="portrait"/>
          <w:cols w:equalWidth="0" w:num="1">
            <w:col w:w="9400"/>
          </w:cols>
          <w:pgMar w:left="1440" w:top="1440" w:right="10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ELECTION NOMINATION PROCESS</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Governance Principles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Our process for election of directors is based on the following core principles:</w:t>
      </w:r>
    </w:p>
    <w:p>
      <w:pPr>
        <w:spacing w:after="0" w:line="148" w:lineRule="exact"/>
        <w:rPr>
          <w:sz w:val="20"/>
          <w:szCs w:val="20"/>
          <w:color w:val="auto"/>
        </w:rPr>
      </w:pPr>
    </w:p>
    <w:p>
      <w:pPr>
        <w:ind w:left="860" w:hanging="325"/>
        <w:spacing w:after="0"/>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directors are elected annually.</w:t>
      </w:r>
    </w:p>
    <w:p>
      <w:pPr>
        <w:spacing w:after="0" w:line="161" w:lineRule="exact"/>
        <w:rPr>
          <w:rFonts w:ascii="Arial" w:cs="Arial" w:eastAsia="Arial" w:hAnsi="Arial"/>
          <w:sz w:val="20"/>
          <w:szCs w:val="20"/>
          <w:color w:val="auto"/>
        </w:rPr>
      </w:pPr>
    </w:p>
    <w:p>
      <w:pPr>
        <w:ind w:left="860" w:right="420" w:hanging="325"/>
        <w:spacing w:after="0" w:line="298" w:lineRule="auto"/>
        <w:tabs>
          <w:tab w:leader="none" w:pos="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”Majority Voting” standard for election of directors — each director in an uncontested election must receive more votes “For” his or her election than votes “Against” in order to be elected.</w:t>
      </w:r>
    </w:p>
    <w:p>
      <w:pPr>
        <w:spacing w:after="0" w:line="64" w:lineRule="exact"/>
        <w:rPr>
          <w:rFonts w:ascii="Arial" w:cs="Arial" w:eastAsia="Arial" w:hAnsi="Arial"/>
          <w:sz w:val="19"/>
          <w:szCs w:val="19"/>
          <w:color w:val="auto"/>
        </w:rPr>
      </w:pPr>
    </w:p>
    <w:p>
      <w:pPr>
        <w:ind w:left="860" w:right="300" w:hanging="325"/>
        <w:spacing w:after="0" w:line="252" w:lineRule="auto"/>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director nominee who is not re-elected under our majority voting standard must tender his or her resignation for consideration by the Board. The Nominating &amp; Corporate Governance Committee is then required to make a recommendation to the Board as to whether it should accept or reject such resignation, and the Board must accept or reject the offer to resign and publicly disclose its decision within 90 days of the certification of the results of the election. In addition, pursuant to amendments to the Company's Corporate Governance Principles and Nominating &amp; Corporate Governance Committee charter adopted in February 2025, the Board expects directors to ensure that their time commitments do not interfere with their duties and responsibilities as a director, and will consider a director candidate's time commitments when evaluating the potential candidate.</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123054"/>
        </w:rPr>
        <w:t>Board Membership Criteria and Identifying Candidates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Our Corporate Governance Principles outline the following criteria for Board membership:</w:t>
      </w:r>
    </w:p>
    <w:p>
      <w:pPr>
        <w:spacing w:after="0" w:line="162" w:lineRule="exact"/>
        <w:rPr>
          <w:sz w:val="20"/>
          <w:szCs w:val="20"/>
          <w:color w:val="auto"/>
        </w:rPr>
      </w:pPr>
    </w:p>
    <w:p>
      <w:pPr>
        <w:ind w:left="860" w:right="160" w:hanging="325"/>
        <w:spacing w:after="0" w:line="262"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Nominating &amp; Corporate Governance Committee shall include, in each director search, candidates who reflect diverse backgrounds, experiences, and points of view, including diversity of gender, race, and/or ethnicity.</w:t>
      </w:r>
    </w:p>
    <w:p>
      <w:pPr>
        <w:spacing w:after="0" w:line="97" w:lineRule="exact"/>
        <w:rPr>
          <w:rFonts w:ascii="Arial" w:cs="Arial" w:eastAsia="Arial" w:hAnsi="Arial"/>
          <w:sz w:val="20"/>
          <w:szCs w:val="20"/>
          <w:color w:val="auto"/>
        </w:rPr>
      </w:pPr>
    </w:p>
    <w:p>
      <w:pPr>
        <w:ind w:left="860" w:right="20" w:hanging="325"/>
        <w:spacing w:after="0" w:line="254"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On an annual basis, the Nominating &amp; Corporate Governance Committee shall review with the Board the appropriate skills and characteristics required of Board members in the context of the current composition of the Board and provide an assessment of the perceived needs of the Board at that point in time. The Nominating &amp; Corporate Governance Committee's review may include consideration of all relevant factors, including the experience, integrity, diversity, and reputation of potential candidates.</w:t>
      </w:r>
    </w:p>
    <w:p>
      <w:pPr>
        <w:spacing w:after="0" w:line="106"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Our leadership team and, occasionally, a third-party search firm, assist the Nominating &amp; Corporate Governance Committee to identify candidates using the general Board membership criteria and current desired skills described in this proxy statement and Carter's Corporate Governance Principles. In addition, the Nominating &amp; Corporate Governance Committee considers candidates who are recommended by shareholders, other Board members, and our leadership team against those same general Board membership criteria and desired skills.</w:t>
      </w:r>
    </w:p>
    <w:p>
      <w:pPr>
        <w:sectPr>
          <w:pgSz w:w="11900" w:h="16838" w:orient="portrait"/>
          <w:cols w:equalWidth="0" w:num="1">
            <w:col w:w="9400"/>
          </w:cols>
          <w:pgMar w:left="1440" w:top="1440" w:right="1059" w:bottom="0" w:gutter="0" w:footer="0" w:header="0"/>
          <w:type w:val="continuous"/>
        </w:sectPr>
      </w:pPr>
    </w:p>
    <w:bookmarkStart w:id="21" w:name="page22"/>
    <w:bookmarkEnd w:id="21"/>
    <w:p>
      <w:pPr>
        <w:ind w:left="140" w:right="420"/>
        <w:spacing w:after="0" w:line="180" w:lineRule="auto"/>
        <w:rPr>
          <w:sz w:val="20"/>
          <w:szCs w:val="20"/>
          <w:color w:val="auto"/>
        </w:rPr>
      </w:pPr>
      <w:r>
        <w:rPr>
          <w:rFonts w:ascii="Arial" w:cs="Arial" w:eastAsia="Arial" w:hAnsi="Arial"/>
          <w:sz w:val="19"/>
          <w:szCs w:val="19"/>
          <w:color w:val="auto"/>
        </w:rPr>
        <w:t>Any shareholder who wants to recommend a director candidate for the Nominating &amp; Corporate Governance Committee to consider nominating for the 2026 Annual Meeting should submit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-184785</wp:posOffset>
            </wp:positionV>
            <wp:extent cx="6810375" cy="2042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2042160"/>
                    </a:xfrm>
                    <a:prstGeom prst="rect">
                      <a:avLst/>
                    </a:prstGeom>
                    <a:noFill/>
                  </pic:spPr>
                </pic:pic>
              </a:graphicData>
            </a:graphic>
          </wp:anchor>
        </w:drawing>
      </w:r>
    </w:p>
    <w:p>
      <w:pPr>
        <w:ind w:left="140" w:right="260"/>
        <w:spacing w:after="0" w:line="249" w:lineRule="auto"/>
        <w:rPr>
          <w:sz w:val="20"/>
          <w:szCs w:val="20"/>
          <w:color w:val="auto"/>
        </w:rPr>
      </w:pPr>
      <w:r>
        <w:rPr>
          <w:rFonts w:ascii="Arial" w:cs="Arial" w:eastAsia="Arial" w:hAnsi="Arial"/>
          <w:sz w:val="20"/>
          <w:szCs w:val="20"/>
          <w:color w:val="auto"/>
        </w:rPr>
        <w:t>request and related information to Mr. Robinson no later than December 31, 2025, in order to allow for sufficient time to consider the recommendation. Shareholders may also nominate director candidates directly if they comply with the procedures set forth in our amended and restated bylaws (“Bylaws”), which are described in more detail in Question 22 “How do I submit a proposal or nominate a director candidate for the 2026 Annual Meeting?” on page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391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39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SHAREHOLDER COMMUNICATION WITH DIRECTORS</w:t>
      </w:r>
    </w:p>
    <w:p>
      <w:pPr>
        <w:spacing w:after="0" w:line="172" w:lineRule="exact"/>
        <w:rPr>
          <w:sz w:val="20"/>
          <w:szCs w:val="20"/>
          <w:color w:val="auto"/>
        </w:rPr>
      </w:pPr>
    </w:p>
    <w:p>
      <w:pPr>
        <w:ind w:left="140" w:right="40"/>
        <w:spacing w:after="0" w:line="290" w:lineRule="auto"/>
        <w:rPr>
          <w:sz w:val="20"/>
          <w:szCs w:val="20"/>
          <w:color w:val="auto"/>
        </w:rPr>
      </w:pPr>
      <w:r>
        <w:rPr>
          <w:rFonts w:ascii="Arial" w:cs="Arial" w:eastAsia="Arial" w:hAnsi="Arial"/>
          <w:sz w:val="19"/>
          <w:szCs w:val="19"/>
          <w:color w:val="auto"/>
        </w:rPr>
        <w:t>A shareholder or other interested party may submit a written communication to the Board, the Non-Executive Chairman, or other individual non-management directors. The submission should be delivered to Mr. Robinson at Carter's address:3438 Peachtree Road NE, Suite 1800, Atlanta, Georgia 30326.</w:t>
      </w:r>
    </w:p>
    <w:p>
      <w:pPr>
        <w:spacing w:after="0" w:line="166" w:lineRule="exact"/>
        <w:rPr>
          <w:sz w:val="20"/>
          <w:szCs w:val="20"/>
          <w:color w:val="auto"/>
        </w:rPr>
      </w:pPr>
    </w:p>
    <w:p>
      <w:pPr>
        <w:ind w:left="140"/>
        <w:spacing w:after="0" w:line="262" w:lineRule="auto"/>
        <w:rPr>
          <w:sz w:val="20"/>
          <w:szCs w:val="20"/>
          <w:color w:val="auto"/>
        </w:rPr>
      </w:pPr>
      <w:r>
        <w:rPr>
          <w:rFonts w:ascii="Arial" w:cs="Arial" w:eastAsia="Arial" w:hAnsi="Arial"/>
          <w:sz w:val="20"/>
          <w:szCs w:val="20"/>
          <w:color w:val="auto"/>
        </w:rPr>
        <w:t>The Board, the Non-Executive Chairman, or other non-management directors may require the submitting shareholder to furnish such information as may be reasonably required or deemed necessary to sufficiently review and consider the submission of such shareholder.</w:t>
      </w:r>
    </w:p>
    <w:p>
      <w:pPr>
        <w:spacing w:after="0" w:line="192" w:lineRule="exact"/>
        <w:rPr>
          <w:sz w:val="20"/>
          <w:szCs w:val="20"/>
          <w:color w:val="auto"/>
        </w:rPr>
      </w:pPr>
    </w:p>
    <w:p>
      <w:pPr>
        <w:ind w:left="140" w:right="80"/>
        <w:spacing w:after="0" w:line="259" w:lineRule="auto"/>
        <w:rPr>
          <w:sz w:val="20"/>
          <w:szCs w:val="20"/>
          <w:color w:val="auto"/>
        </w:rPr>
      </w:pPr>
      <w:r>
        <w:rPr>
          <w:rFonts w:ascii="Arial" w:cs="Arial" w:eastAsia="Arial" w:hAnsi="Arial"/>
          <w:sz w:val="20"/>
          <w:szCs w:val="20"/>
          <w:color w:val="auto"/>
        </w:rPr>
        <w:t>Each submission will be forwarded, without editing or alteration, to the Board, the Non-Executive Chairman, or individual non-management directors, as appropriate, at, or prior to, the next scheduled meeting of the Board. The Board or the Non-Executive Chairman, as appropriate, will determine, in their sole discretion, the method by which such submission will be reviewed and considered.</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RISK OVERSIGHT</w:t>
      </w:r>
    </w:p>
    <w:p>
      <w:pPr>
        <w:spacing w:after="0" w:line="199" w:lineRule="exact"/>
        <w:rPr>
          <w:sz w:val="20"/>
          <w:szCs w:val="20"/>
          <w:color w:val="auto"/>
        </w:rPr>
      </w:pPr>
    </w:p>
    <w:p>
      <w:pPr>
        <w:ind w:left="140" w:right="180"/>
        <w:spacing w:after="0" w:line="258" w:lineRule="auto"/>
        <w:rPr>
          <w:sz w:val="20"/>
          <w:szCs w:val="20"/>
          <w:color w:val="auto"/>
        </w:rPr>
      </w:pPr>
      <w:r>
        <w:rPr>
          <w:rFonts w:ascii="Arial" w:cs="Arial" w:eastAsia="Arial" w:hAnsi="Arial"/>
          <w:sz w:val="20"/>
          <w:szCs w:val="20"/>
          <w:color w:val="auto"/>
        </w:rPr>
        <w:t>Oversight of the various risks we face is integral to the Board's oversight of our business. The Board, each of our committees, and management have specific roles and responsibilities with respect to those risks. Carter’s management is responsible for identifying, assessing, managing, and mitigating Carter’s strategic, financial, operational, and compliance risks. The chart below provides an overview of the Board’s and its committees’ risk oversight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right="720"/>
        <w:spacing w:after="0" w:line="262" w:lineRule="auto"/>
        <w:rPr>
          <w:sz w:val="20"/>
          <w:szCs w:val="20"/>
          <w:color w:val="auto"/>
        </w:rPr>
      </w:pPr>
      <w:r>
        <w:rPr>
          <w:rFonts w:ascii="Arial" w:cs="Arial" w:eastAsia="Arial" w:hAnsi="Arial"/>
          <w:sz w:val="20"/>
          <w:szCs w:val="20"/>
          <w:color w:val="auto"/>
        </w:rPr>
        <w:t>The Board and its committees receive updates from senior management on relevant risks and management efforts in these areas at Board and committee meetings at least annually and more frequently, as appropriate.</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Cybersecurity Oversight</w:t>
      </w:r>
    </w:p>
    <w:p>
      <w:pPr>
        <w:spacing w:after="0" w:line="67" w:lineRule="exact"/>
        <w:rPr>
          <w:sz w:val="20"/>
          <w:szCs w:val="20"/>
          <w:color w:val="auto"/>
        </w:rPr>
      </w:pPr>
    </w:p>
    <w:p>
      <w:pPr>
        <w:ind w:left="140"/>
        <w:spacing w:after="0" w:line="262" w:lineRule="auto"/>
        <w:rPr>
          <w:sz w:val="20"/>
          <w:szCs w:val="20"/>
          <w:color w:val="auto"/>
        </w:rPr>
      </w:pPr>
      <w:r>
        <w:rPr>
          <w:rFonts w:ascii="Arial" w:cs="Arial" w:eastAsia="Arial" w:hAnsi="Arial"/>
          <w:sz w:val="20"/>
          <w:szCs w:val="20"/>
          <w:color w:val="auto"/>
        </w:rPr>
        <w:t>The Audit Committee oversees risks from cybersecurity threats, including through quarterly reports to the Audit Committee by Carter’s Chief Information Security Officer (“CISO”) and Chief Information &amp; Technology Officer (“CITO”) and, as needed, special reports to the Audit Committee and/or the</w:t>
      </w:r>
    </w:p>
    <w:p>
      <w:pPr>
        <w:sectPr>
          <w:pgSz w:w="11900" w:h="16838" w:orient="portrait"/>
          <w:cols w:equalWidth="0" w:num="1">
            <w:col w:w="9300"/>
          </w:cols>
          <w:pgMar w:left="1440" w:top="104" w:right="1159" w:bottom="0" w:gutter="0" w:footer="0" w:header="0"/>
        </w:sectPr>
      </w:pPr>
    </w:p>
    <w:bookmarkStart w:id="22" w:name="page23"/>
    <w:bookmarkEnd w:id="22"/>
    <w:p>
      <w:pPr>
        <w:ind w:left="4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4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464820"/>
                    </a:xfrm>
                    <a:prstGeom prst="rect">
                      <a:avLst/>
                    </a:prstGeom>
                    <a:noFill/>
                  </pic:spPr>
                </pic:pic>
              </a:graphicData>
            </a:graphic>
          </wp:anchor>
        </w:drawing>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560"/>
          </w:cols>
          <w:pgMar w:left="1440" w:top="16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Chairperson of the Audit Committee. The Audit Committee includes members with technology and cybersecurity experience and certifications, including an Audit Committee member with over 28 years of experience working for Hewlett Packard Enterprise Company and an Audit Committee member with a Computer Emergency Readiness Team (“CERT”) Certificate in Cybersecurity Oversight issued by the CERT Division of the Software Engineering Institute at Carnegie Mellon University and completion of the National Association of Corporate Directors Master Course in Cybersecurity.</w:t>
      </w:r>
    </w:p>
    <w:p>
      <w:pPr>
        <w:spacing w:after="0" w:line="146" w:lineRule="exact"/>
        <w:rPr>
          <w:sz w:val="20"/>
          <w:szCs w:val="20"/>
          <w:color w:val="auto"/>
        </w:rPr>
      </w:pPr>
    </w:p>
    <w:p>
      <w:pPr>
        <w:ind w:left="140" w:right="100"/>
        <w:spacing w:after="0" w:line="251" w:lineRule="auto"/>
        <w:rPr>
          <w:sz w:val="20"/>
          <w:szCs w:val="20"/>
          <w:color w:val="auto"/>
        </w:rPr>
      </w:pPr>
      <w:r>
        <w:rPr>
          <w:rFonts w:ascii="Arial" w:cs="Arial" w:eastAsia="Arial" w:hAnsi="Arial"/>
          <w:sz w:val="20"/>
          <w:szCs w:val="20"/>
          <w:color w:val="auto"/>
        </w:rPr>
        <w:t>Management plays an integral role in assessing and managing the Company’s material risk from cybersecurity risks. The assessment and management of those risks is led by the Company’s CISO, who has over 20 years of experience working in information technology, including over 10 years specifically focused on information security, infrastructure, and strategy, and the Company’s CITO, who has over 30 years of experience in Retail, Consumer Products, Merchandising, and IT, of which 16 years have been in leadership roles, and implemented by the CISO’s team, who are responsible for leading enterprise-wide cybersecurity strategy, policy, standards, architecture, processes and operations. The CISO and CITO lead quarterly meetings of the Company’s Security Executive Steering Committee (the “Steering Committee”), which is composed of the Company’s Chief Financial Officer, General Counsel, and CITO. The Steering Committee drives awareness, ownership and alignment across broad governance and risk stakeholder groups for effective cybersecurity risk management and reporting.</w:t>
      </w:r>
    </w:p>
    <w:p>
      <w:pPr>
        <w:spacing w:after="0" w:line="108" w:lineRule="exact"/>
        <w:rPr>
          <w:sz w:val="20"/>
          <w:szCs w:val="20"/>
          <w:color w:val="auto"/>
        </w:rPr>
      </w:pPr>
    </w:p>
    <w:p>
      <w:pPr>
        <w:ind w:left="140" w:right="100"/>
        <w:spacing w:after="0" w:line="289" w:lineRule="auto"/>
        <w:rPr>
          <w:sz w:val="20"/>
          <w:szCs w:val="20"/>
          <w:color w:val="auto"/>
        </w:rPr>
      </w:pPr>
      <w:r>
        <w:rPr>
          <w:rFonts w:ascii="Arial" w:cs="Arial" w:eastAsia="Arial" w:hAnsi="Arial"/>
          <w:sz w:val="19"/>
          <w:szCs w:val="19"/>
          <w:color w:val="auto"/>
        </w:rPr>
        <w:t>Carter’s management maintains and implements a written Incident Response Plan, which is reviewed and updated on an annual basis and includes an Incident Response Plan Executive Committee consisting of Carter’s CITO, CISO, and General Counsel. In addition, members of the CISO’s and CITO’s teams monitor Carter’s systems and processes and promptly report incidents as required under the Incident Response Plan, including, but not limited to, reporting to the appropriate members of management and, as needed, the Audit Committee. We have been subject to cybersecurity incidents in the past, including within the last three years, and expect them to continue as cybersecurity threats evolve in sophistication. Although the aggregate impact of cybersecurity incidents has not been material to date, we cannot provide any assurances that such events will not occur and impacts therefrom will not be material in the future.</w:t>
      </w:r>
    </w:p>
    <w:p>
      <w:pPr>
        <w:spacing w:after="0" w:line="89" w:lineRule="exact"/>
        <w:rPr>
          <w:sz w:val="20"/>
          <w:szCs w:val="20"/>
          <w:color w:val="auto"/>
        </w:rPr>
      </w:pPr>
    </w:p>
    <w:p>
      <w:pPr>
        <w:ind w:left="140" w:right="440"/>
        <w:spacing w:after="0" w:line="283" w:lineRule="auto"/>
        <w:rPr>
          <w:sz w:val="20"/>
          <w:szCs w:val="20"/>
          <w:color w:val="auto"/>
        </w:rPr>
      </w:pPr>
      <w:r>
        <w:rPr>
          <w:rFonts w:ascii="Arial" w:cs="Arial" w:eastAsia="Arial" w:hAnsi="Arial"/>
          <w:sz w:val="20"/>
          <w:szCs w:val="20"/>
          <w:color w:val="auto"/>
        </w:rPr>
        <w:t>The Incident Response Plan has been developed to align with the four phases for the security handling lifecycle set forth in the National Institute for Standards and Technology Special Publication 800-61: (1) Preparation, (2) Detection &amp; Analysis, (3) Containment Eradication &amp; Recovery, and (4) Post-Incident Activity.</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ESG Oversight</w:t>
      </w:r>
    </w:p>
    <w:p>
      <w:pPr>
        <w:spacing w:after="0" w:line="270" w:lineRule="exact"/>
        <w:rPr>
          <w:sz w:val="20"/>
          <w:szCs w:val="20"/>
          <w:color w:val="auto"/>
        </w:rPr>
      </w:pPr>
    </w:p>
    <w:p>
      <w:pPr>
        <w:ind w:left="140" w:right="540"/>
        <w:spacing w:after="0" w:line="275" w:lineRule="auto"/>
        <w:rPr>
          <w:sz w:val="20"/>
          <w:szCs w:val="20"/>
          <w:color w:val="auto"/>
        </w:rPr>
      </w:pPr>
      <w:r>
        <w:rPr>
          <w:rFonts w:ascii="Arial" w:cs="Arial" w:eastAsia="Arial" w:hAnsi="Arial"/>
          <w:sz w:val="20"/>
          <w:szCs w:val="20"/>
          <w:color w:val="auto"/>
        </w:rPr>
        <w:t>We believe a strong management team and governance are essential to demonstrating accountability and driving our desired results when it comes to important ESG matters, including climate change, product quality and safety, workers’ rights, product design and innovation, supply chain management, and employee engagement. The following is a high-level overview of oversight for ESG matters at our company.</w:t>
      </w:r>
    </w:p>
    <w:p>
      <w:pPr>
        <w:sectPr>
          <w:pgSz w:w="11900" w:h="16838" w:orient="portrait"/>
          <w:cols w:equalWidth="0" w:num="1">
            <w:col w:w="9560"/>
          </w:cols>
          <w:pgMar w:left="1440" w:top="16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1019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1019175"/>
                    </a:xfrm>
                    <a:prstGeom prst="rect">
                      <a:avLst/>
                    </a:prstGeom>
                    <a:noFill/>
                  </pic:spPr>
                </pic:pic>
              </a:graphicData>
            </a:graphic>
          </wp:anchor>
        </w:drawing>
      </w:r>
    </w:p>
    <w:p>
      <w:pPr>
        <w:sectPr>
          <w:pgSz w:w="11900" w:h="16838" w:orient="portrait"/>
          <w:cols w:equalWidth="0" w:num="1">
            <w:col w:w="9560"/>
          </w:cols>
          <w:pgMar w:left="1440" w:top="161" w:right="8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837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783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right="640"/>
        <w:spacing w:after="0" w:line="248" w:lineRule="auto"/>
        <w:rPr>
          <w:sz w:val="20"/>
          <w:szCs w:val="20"/>
          <w:color w:val="auto"/>
        </w:rPr>
      </w:pPr>
      <w:r>
        <w:rPr>
          <w:rFonts w:ascii="Arial" w:cs="Arial" w:eastAsia="Arial" w:hAnsi="Arial"/>
          <w:sz w:val="20"/>
          <w:szCs w:val="20"/>
          <w:color w:val="auto"/>
        </w:rPr>
        <w:t>More information about our ESG efforts, including our latest sustainability report, can be found at esg.carters.com. This website and others referenced herein are not incorporated by reference into this proxy statement.</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Compensation Program Risk Assessment</w:t>
      </w:r>
    </w:p>
    <w:p>
      <w:pPr>
        <w:spacing w:after="0" w:line="67" w:lineRule="exact"/>
        <w:rPr>
          <w:sz w:val="20"/>
          <w:szCs w:val="20"/>
          <w:color w:val="auto"/>
        </w:rPr>
      </w:pPr>
    </w:p>
    <w:p>
      <w:pPr>
        <w:ind w:left="140" w:right="160"/>
        <w:spacing w:after="0" w:line="238" w:lineRule="auto"/>
        <w:rPr>
          <w:sz w:val="20"/>
          <w:szCs w:val="20"/>
          <w:color w:val="auto"/>
        </w:rPr>
      </w:pPr>
      <w:r>
        <w:rPr>
          <w:rFonts w:ascii="Arial" w:cs="Arial" w:eastAsia="Arial" w:hAnsi="Arial"/>
          <w:sz w:val="20"/>
          <w:szCs w:val="20"/>
          <w:color w:val="auto"/>
        </w:rPr>
        <w:t>As part of its oversight role, the Compensation &amp; Human Capital Committee considers the impact of our compensation program, policies and practices (both at the executive and below-executive levels) on Carter’s overall risk profile. Specifically, the Compensation &amp; Human Capital Committee reviews Carter’s compensation policies and practices, discusses and reviews whether the incentive compensation arrangements promote appropriate approaches to the taking and management of risk, and, specifically, do not encourage executive officers to take unnecessary and excessive risks. We believe that our pay program provides an effective balance in cash and equity and a mix of short- and longer-term performance periods and also requires the Compensation &amp; Human Capital Committee to approve payouts. Based on the Compensation &amp; Human Capital Committee’s most recent review, the Compensation &amp; Human Capital Committee determined that the risks arising from Carter’s compensation policies and practices are not reasonably likely to have a material adverse effect on</w:t>
      </w:r>
    </w:p>
    <w:p>
      <w:pPr>
        <w:spacing w:after="0" w:line="28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596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Carter’s.</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CORPORATE GOVERNANCE PRINCIPLES AND CODE OF ETHICS</w:t>
      </w:r>
    </w:p>
    <w:p>
      <w:pPr>
        <w:spacing w:after="0" w:line="199" w:lineRule="exact"/>
        <w:rPr>
          <w:sz w:val="20"/>
          <w:szCs w:val="20"/>
          <w:color w:val="auto"/>
        </w:rPr>
      </w:pPr>
    </w:p>
    <w:p>
      <w:pPr>
        <w:ind w:left="140"/>
        <w:spacing w:after="0" w:line="243" w:lineRule="auto"/>
        <w:rPr>
          <w:sz w:val="20"/>
          <w:szCs w:val="20"/>
          <w:color w:val="auto"/>
        </w:rPr>
      </w:pPr>
      <w:r>
        <w:rPr>
          <w:rFonts w:ascii="Arial" w:cs="Arial" w:eastAsia="Arial" w:hAnsi="Arial"/>
          <w:sz w:val="20"/>
          <w:szCs w:val="20"/>
          <w:color w:val="auto"/>
        </w:rPr>
        <w:t>Carter's is committed to conducting its business with the highest level of integrity and maintaining the highest standards of corporate governance. Our Corporate Governance Principles and Code of Ethics provide the structure within which our Board and management operate Carter’s. Our Code of Ethics applies to all directors and Carter’s employees. Our Corporate Governance Principles and Code of Ethics are available in the Investor Relations section of our website at ir.carters.com or in print by contacting Mr. Robinson at Carter’s address set forth in the2025 Notice of Annual Meeting.</w:t>
      </w:r>
    </w:p>
    <w:p>
      <w:pPr>
        <w:sectPr>
          <w:pgSz w:w="11900" w:h="16838" w:orient="portrait"/>
          <w:cols w:equalWidth="0" w:num="1">
            <w:col w:w="9340"/>
          </w:cols>
          <w:pgMar w:left="1440" w:top="1440" w:right="1119" w:bottom="421"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259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625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41738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4173855"/>
                    </a:xfrm>
                    <a:prstGeom prst="rect">
                      <a:avLst/>
                    </a:prstGeom>
                    <a:noFill/>
                  </pic:spPr>
                </pic:pic>
              </a:graphicData>
            </a:graphic>
          </wp:anchor>
        </w:drawing>
      </w:r>
    </w:p>
    <w:p>
      <w:pPr>
        <w:sectPr>
          <w:pgSz w:w="11900" w:h="16838" w:orient="portrait"/>
          <w:cols w:equalWidth="0" w:num="1">
            <w:col w:w="9220"/>
          </w:cols>
          <w:pgMar w:left="1440" w:top="1440" w:right="1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123054"/>
        </w:rPr>
        <w:t>PROPOSAL NUMBER ONE — ELECTION OF DIRECTORS</w:t>
      </w:r>
    </w:p>
    <w:p>
      <w:pPr>
        <w:spacing w:after="0" w:line="273" w:lineRule="exact"/>
        <w:rPr>
          <w:sz w:val="20"/>
          <w:szCs w:val="20"/>
          <w:color w:val="auto"/>
        </w:rPr>
      </w:pPr>
    </w:p>
    <w:p>
      <w:pPr>
        <w:ind w:left="140"/>
        <w:spacing w:after="0" w:line="244" w:lineRule="auto"/>
        <w:rPr>
          <w:sz w:val="20"/>
          <w:szCs w:val="20"/>
          <w:color w:val="auto"/>
        </w:rPr>
      </w:pPr>
      <w:r>
        <w:rPr>
          <w:rFonts w:ascii="Arial" w:cs="Arial" w:eastAsia="Arial" w:hAnsi="Arial"/>
          <w:sz w:val="20"/>
          <w:szCs w:val="20"/>
          <w:color w:val="auto"/>
        </w:rPr>
        <w:t>The Board proposes that the following 11 director nominees be elected to the Board to serve until the next annual meeting in 2026, or until his or her earlier resignation, death, or removal. Each nominee is listed below, along with their age as of the date of the Annual Meeting. For more information about each of the director nominees, including individual biographies. Please see “Board of Directors and Corporate Governance Information—2025 Nominees for Director.”</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7580" w:type="dxa"/>
            <w:vAlign w:val="bottom"/>
            <w:tcBorders>
              <w:right w:val="single" w:sz="8" w:color="123054"/>
            </w:tcBorders>
            <w:shd w:val="clear" w:color="auto" w:fill="123054"/>
          </w:tcPr>
          <w:p>
            <w:pPr>
              <w:ind w:left="120"/>
              <w:spacing w:after="0"/>
              <w:rPr>
                <w:sz w:val="20"/>
                <w:szCs w:val="20"/>
                <w:color w:val="auto"/>
              </w:rPr>
            </w:pPr>
            <w:r>
              <w:rPr>
                <w:rFonts w:ascii="Arial" w:cs="Arial" w:eastAsia="Arial" w:hAnsi="Arial"/>
                <w:sz w:val="20"/>
                <w:szCs w:val="20"/>
                <w:b w:val="1"/>
                <w:bCs w:val="1"/>
                <w:color w:val="FFFFFF"/>
              </w:rPr>
              <w:t>Name</w:t>
            </w:r>
          </w:p>
        </w:tc>
        <w:tc>
          <w:tcPr>
            <w:tcW w:w="1020" w:type="dxa"/>
            <w:vAlign w:val="bottom"/>
            <w:shd w:val="clear" w:color="auto" w:fill="123054"/>
          </w:tcPr>
          <w:p>
            <w:pPr>
              <w:jc w:val="center"/>
              <w:spacing w:after="0"/>
              <w:rPr>
                <w:sz w:val="20"/>
                <w:szCs w:val="20"/>
                <w:color w:val="auto"/>
              </w:rPr>
            </w:pPr>
            <w:r>
              <w:rPr>
                <w:rFonts w:ascii="Arial" w:cs="Arial" w:eastAsia="Arial" w:hAnsi="Arial"/>
                <w:sz w:val="20"/>
                <w:szCs w:val="20"/>
                <w:b w:val="1"/>
                <w:bCs w:val="1"/>
                <w:color w:val="FFFFFF"/>
                <w:w w:val="95"/>
              </w:rPr>
              <w:t>Age</w:t>
            </w:r>
          </w:p>
        </w:tc>
      </w:tr>
      <w:tr>
        <w:trPr>
          <w:trHeight w:val="256"/>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Rochester Anderson, Jr.</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63</w:t>
            </w:r>
          </w:p>
        </w:tc>
      </w:tr>
      <w:tr>
        <w:trPr>
          <w:trHeight w:val="283"/>
        </w:trPr>
        <w:tc>
          <w:tcPr>
            <w:tcW w:w="758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Jeffrey H. Black</w:t>
            </w:r>
          </w:p>
        </w:tc>
        <w:tc>
          <w:tcPr>
            <w:tcW w:w="1020" w:type="dxa"/>
            <w:vAlign w:val="bottom"/>
            <w:shd w:val="clear" w:color="auto" w:fill="DBDBDB"/>
          </w:tcPr>
          <w:p>
            <w:pPr>
              <w:jc w:val="center"/>
              <w:spacing w:after="0"/>
              <w:rPr>
                <w:sz w:val="20"/>
                <w:szCs w:val="20"/>
                <w:color w:val="auto"/>
              </w:rPr>
            </w:pPr>
            <w:r>
              <w:rPr>
                <w:rFonts w:ascii="Arial" w:cs="Arial" w:eastAsia="Arial" w:hAnsi="Arial"/>
                <w:sz w:val="20"/>
                <w:szCs w:val="20"/>
                <w:color w:val="auto"/>
                <w:w w:val="98"/>
              </w:rPr>
              <w:t>70</w:t>
            </w:r>
          </w:p>
        </w:tc>
      </w:tr>
      <w:tr>
        <w:trPr>
          <w:trHeight w:val="282"/>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Hali Borenstein</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40</w:t>
            </w:r>
          </w:p>
        </w:tc>
      </w:tr>
      <w:tr>
        <w:trPr>
          <w:trHeight w:val="285"/>
        </w:trPr>
        <w:tc>
          <w:tcPr>
            <w:tcW w:w="758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Luis Borgen</w:t>
            </w:r>
          </w:p>
        </w:tc>
        <w:tc>
          <w:tcPr>
            <w:tcW w:w="1020" w:type="dxa"/>
            <w:vAlign w:val="bottom"/>
            <w:shd w:val="clear" w:color="auto" w:fill="DBDBDB"/>
          </w:tcPr>
          <w:p>
            <w:pPr>
              <w:jc w:val="center"/>
              <w:spacing w:after="0"/>
              <w:rPr>
                <w:sz w:val="20"/>
                <w:szCs w:val="20"/>
                <w:color w:val="auto"/>
              </w:rPr>
            </w:pPr>
            <w:r>
              <w:rPr>
                <w:rFonts w:ascii="Arial" w:cs="Arial" w:eastAsia="Arial" w:hAnsi="Arial"/>
                <w:sz w:val="20"/>
                <w:szCs w:val="20"/>
                <w:color w:val="auto"/>
                <w:w w:val="98"/>
              </w:rPr>
              <w:t>55</w:t>
            </w:r>
          </w:p>
        </w:tc>
      </w:tr>
      <w:tr>
        <w:trPr>
          <w:trHeight w:val="282"/>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Jevin S. Eagle</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58</w:t>
            </w:r>
          </w:p>
        </w:tc>
      </w:tr>
      <w:tr>
        <w:trPr>
          <w:trHeight w:val="285"/>
        </w:trPr>
        <w:tc>
          <w:tcPr>
            <w:tcW w:w="758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Mark P. Hipp</w:t>
            </w:r>
          </w:p>
        </w:tc>
        <w:tc>
          <w:tcPr>
            <w:tcW w:w="1020" w:type="dxa"/>
            <w:vAlign w:val="bottom"/>
            <w:shd w:val="clear" w:color="auto" w:fill="E4E4E4"/>
          </w:tcPr>
          <w:p>
            <w:pPr>
              <w:jc w:val="center"/>
              <w:spacing w:after="0"/>
              <w:rPr>
                <w:sz w:val="20"/>
                <w:szCs w:val="20"/>
                <w:color w:val="auto"/>
              </w:rPr>
            </w:pPr>
            <w:r>
              <w:rPr>
                <w:rFonts w:ascii="Arial" w:cs="Arial" w:eastAsia="Arial" w:hAnsi="Arial"/>
                <w:sz w:val="20"/>
                <w:szCs w:val="20"/>
                <w:color w:val="auto"/>
                <w:w w:val="98"/>
              </w:rPr>
              <w:t>63</w:t>
            </w:r>
          </w:p>
        </w:tc>
      </w:tr>
      <w:tr>
        <w:trPr>
          <w:trHeight w:val="282"/>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William J. Montgoris</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78</w:t>
            </w:r>
          </w:p>
        </w:tc>
      </w:tr>
      <w:tr>
        <w:trPr>
          <w:trHeight w:val="285"/>
        </w:trPr>
        <w:tc>
          <w:tcPr>
            <w:tcW w:w="758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Douglas C. Palladini</w:t>
            </w:r>
          </w:p>
        </w:tc>
        <w:tc>
          <w:tcPr>
            <w:tcW w:w="1020" w:type="dxa"/>
            <w:vAlign w:val="bottom"/>
            <w:shd w:val="clear" w:color="auto" w:fill="DBDBDB"/>
          </w:tcPr>
          <w:p>
            <w:pPr>
              <w:jc w:val="center"/>
              <w:spacing w:after="0"/>
              <w:rPr>
                <w:sz w:val="20"/>
                <w:szCs w:val="20"/>
                <w:color w:val="auto"/>
              </w:rPr>
            </w:pPr>
            <w:r>
              <w:rPr>
                <w:rFonts w:ascii="Arial" w:cs="Arial" w:eastAsia="Arial" w:hAnsi="Arial"/>
                <w:sz w:val="20"/>
                <w:szCs w:val="20"/>
                <w:color w:val="auto"/>
                <w:w w:val="98"/>
              </w:rPr>
              <w:t>58</w:t>
            </w:r>
          </w:p>
        </w:tc>
      </w:tr>
      <w:tr>
        <w:trPr>
          <w:trHeight w:val="282"/>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Stacey S. Rauch</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67</w:t>
            </w:r>
          </w:p>
        </w:tc>
      </w:tr>
      <w:tr>
        <w:trPr>
          <w:trHeight w:val="285"/>
        </w:trPr>
        <w:tc>
          <w:tcPr>
            <w:tcW w:w="758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Gretchen W. Schar</w:t>
            </w:r>
          </w:p>
        </w:tc>
        <w:tc>
          <w:tcPr>
            <w:tcW w:w="1020" w:type="dxa"/>
            <w:vAlign w:val="bottom"/>
            <w:shd w:val="clear" w:color="auto" w:fill="DBDBDB"/>
          </w:tcPr>
          <w:p>
            <w:pPr>
              <w:jc w:val="center"/>
              <w:spacing w:after="0"/>
              <w:rPr>
                <w:sz w:val="20"/>
                <w:szCs w:val="20"/>
                <w:color w:val="auto"/>
              </w:rPr>
            </w:pPr>
            <w:r>
              <w:rPr>
                <w:rFonts w:ascii="Arial" w:cs="Arial" w:eastAsia="Arial" w:hAnsi="Arial"/>
                <w:sz w:val="20"/>
                <w:szCs w:val="20"/>
                <w:color w:val="auto"/>
                <w:w w:val="98"/>
              </w:rPr>
              <w:t>70</w:t>
            </w:r>
          </w:p>
        </w:tc>
      </w:tr>
      <w:tr>
        <w:trPr>
          <w:trHeight w:val="283"/>
        </w:trPr>
        <w:tc>
          <w:tcPr>
            <w:tcW w:w="758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Stephanie P. Stahl</w:t>
            </w: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58</w:t>
            </w:r>
          </w:p>
        </w:tc>
      </w:tr>
    </w:tbl>
    <w:p>
      <w:pPr>
        <w:sectPr>
          <w:pgSz w:w="11900" w:h="16838" w:orient="portrait"/>
          <w:cols w:equalWidth="0" w:num="1">
            <w:col w:w="9220"/>
          </w:cols>
          <w:pgMar w:left="1440" w:top="1440" w:right="1239" w:bottom="0" w:gutter="0" w:footer="0" w:header="0"/>
          <w:type w:val="continuous"/>
        </w:sectPr>
      </w:pPr>
    </w:p>
    <w:bookmarkStart w:id="25" w:name="page26"/>
    <w:bookmarkEnd w:id="25"/>
    <w:p>
      <w:pPr>
        <w:ind w:left="4200" w:right="380" w:hanging="3467"/>
        <w:spacing w:after="0" w:line="242"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82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4682490"/>
                    </a:xfrm>
                    <a:prstGeom prst="rect">
                      <a:avLst/>
                    </a:prstGeom>
                    <a:noFill/>
                  </pic:spPr>
                </pic:pic>
              </a:graphicData>
            </a:graphic>
          </wp:anchor>
        </w:drawing>
        <w:t>The Board recommends a vote FOR the election of each of the director nominees listed above.</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123054"/>
        </w:rPr>
        <w:t>VOTE REQUIRED</w:t>
      </w:r>
    </w:p>
    <w:p>
      <w:pPr>
        <w:spacing w:after="0" w:line="145" w:lineRule="exact"/>
        <w:rPr>
          <w:sz w:val="20"/>
          <w:szCs w:val="20"/>
          <w:color w:val="auto"/>
        </w:rPr>
      </w:pPr>
    </w:p>
    <w:p>
      <w:pPr>
        <w:jc w:val="both"/>
        <w:ind w:left="240" w:right="300"/>
        <w:spacing w:after="0" w:line="253" w:lineRule="auto"/>
        <w:rPr>
          <w:sz w:val="20"/>
          <w:szCs w:val="20"/>
          <w:color w:val="auto"/>
        </w:rPr>
      </w:pPr>
      <w:r>
        <w:rPr>
          <w:rFonts w:ascii="Arial" w:cs="Arial" w:eastAsia="Arial" w:hAnsi="Arial"/>
          <w:sz w:val="19"/>
          <w:szCs w:val="19"/>
          <w:color w:val="auto"/>
        </w:rPr>
        <w:t>Pursuant to our Bylaws and our Corporate Governance Principles, the number of votes properly cast “for” a director nominee must exceed the aggregate number of votes cast “against” that nominee for that nominee to be elected. Abstentions and broker non-votes will be counted towards a quorum.</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Abstentions and broker non-votes will not have any impact on the outcome of this vote.</w:t>
      </w:r>
    </w:p>
    <w:p>
      <w:pPr>
        <w:spacing w:after="0" w:line="184" w:lineRule="exact"/>
        <w:rPr>
          <w:sz w:val="20"/>
          <w:szCs w:val="20"/>
          <w:color w:val="auto"/>
        </w:rPr>
      </w:pPr>
    </w:p>
    <w:p>
      <w:pPr>
        <w:ind w:left="240" w:right="180"/>
        <w:spacing w:after="0" w:line="239" w:lineRule="auto"/>
        <w:rPr>
          <w:sz w:val="20"/>
          <w:szCs w:val="20"/>
          <w:color w:val="auto"/>
        </w:rPr>
      </w:pPr>
      <w:r>
        <w:rPr>
          <w:rFonts w:ascii="Arial" w:cs="Arial" w:eastAsia="Arial" w:hAnsi="Arial"/>
          <w:sz w:val="20"/>
          <w:szCs w:val="20"/>
          <w:color w:val="auto"/>
        </w:rPr>
        <w:t>Any nominee who is an existing director who does not receive a majority of votes cast “for” their election is required to tender his or her resignation for consideration by the Board. The Nominating and Corporate Governance Committee is then required to make a recommendation to the Board as to whether it should accept or reject such resignation. The Board, taking into account such recommendation, will decide whether to accept such resignation. The Board’s decision will be publicly disclosed within ninety (90) days after the results of the election are certified. A director whose resignation is under consideration shall abstain from participating in any recommendation or decision regarding his or her resignation. If the resignation is not accepted, the director will continue to serve until the next annual meeting of shareholders and until such director’s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751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575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123054"/>
        </w:rPr>
        <w:t>COMPENSATION OF DIRECTORS</w:t>
      </w:r>
    </w:p>
    <w:p>
      <w:pPr>
        <w:spacing w:after="0" w:line="206" w:lineRule="exact"/>
        <w:rPr>
          <w:sz w:val="20"/>
          <w:szCs w:val="20"/>
          <w:color w:val="auto"/>
        </w:rPr>
      </w:pPr>
    </w:p>
    <w:p>
      <w:pPr>
        <w:ind w:left="140" w:right="280"/>
        <w:spacing w:after="0" w:line="260" w:lineRule="auto"/>
        <w:rPr>
          <w:sz w:val="20"/>
          <w:szCs w:val="20"/>
          <w:color w:val="auto"/>
        </w:rPr>
      </w:pPr>
      <w:r>
        <w:rPr>
          <w:rFonts w:ascii="Arial" w:cs="Arial" w:eastAsia="Arial" w:hAnsi="Arial"/>
          <w:sz w:val="19"/>
          <w:szCs w:val="19"/>
          <w:color w:val="auto"/>
        </w:rPr>
        <w:t>When they are initially appointed to the Board, each of our non-management directors receives a one-time restricted stock grant, equal to the value of the annual retainer, that cliff vests after three years. Thereafter, each of our non-management directors receives an annual cash retainer and an annual stock award, and each of our committee chairpersons and our Non-Executive Chairman receives an additional annual retainer. Non-management directors also receive fees for each meeting they attend.</w:t>
      </w:r>
    </w:p>
    <w:p>
      <w:pPr>
        <w:spacing w:after="0" w:line="140" w:lineRule="exact"/>
        <w:rPr>
          <w:sz w:val="20"/>
          <w:szCs w:val="20"/>
          <w:color w:val="auto"/>
        </w:rPr>
      </w:pPr>
    </w:p>
    <w:p>
      <w:pPr>
        <w:ind w:left="140" w:right="620"/>
        <w:spacing w:after="0" w:line="255" w:lineRule="auto"/>
        <w:rPr>
          <w:sz w:val="20"/>
          <w:szCs w:val="20"/>
          <w:color w:val="auto"/>
        </w:rPr>
      </w:pPr>
      <w:r>
        <w:rPr>
          <w:rFonts w:ascii="Arial" w:cs="Arial" w:eastAsia="Arial" w:hAnsi="Arial"/>
          <w:sz w:val="20"/>
          <w:szCs w:val="20"/>
          <w:color w:val="auto"/>
        </w:rPr>
        <w:t>For fiscal2024, each director’s annual retainer was comprised of a cash payment of $90,000 (increased from $85,000 in 2023) and an immediately vested grant of our common stock valued at approximately $160,000. In addition to the annual retainer:</w:t>
      </w:r>
    </w:p>
    <w:p>
      <w:pPr>
        <w:spacing w:after="0" w:line="50" w:lineRule="exact"/>
        <w:rPr>
          <w:sz w:val="20"/>
          <w:szCs w:val="20"/>
          <w:color w:val="auto"/>
        </w:rPr>
      </w:pPr>
    </w:p>
    <w:p>
      <w:pPr>
        <w:ind w:left="420" w:hanging="187"/>
        <w:spacing w:after="0" w:line="243"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Non-Executive Chairman received a $50,000 cash retainer (an increase from $40,000 in 2023) for his service as Lead Independent Director;</w:t>
      </w:r>
    </w:p>
    <w:p>
      <w:pPr>
        <w:spacing w:after="0" w:line="128" w:lineRule="exact"/>
        <w:rPr>
          <w:rFonts w:ascii="Arial" w:cs="Arial" w:eastAsia="Arial" w:hAnsi="Arial"/>
          <w:sz w:val="20"/>
          <w:szCs w:val="20"/>
          <w:color w:val="auto"/>
        </w:rPr>
      </w:pPr>
    </w:p>
    <w:p>
      <w:pPr>
        <w:ind w:left="420" w:right="660" w:hanging="187"/>
        <w:spacing w:after="0" w:line="250"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chairpersons of our Audit Committee and our Business Transformation Committee received a $30,000 cash retainer and the chairpersons of our Compensation &amp; Human Capital and Nominating &amp; Corporate Governance Committees each received $25,000 cash retainers; and</w:t>
      </w:r>
    </w:p>
    <w:p>
      <w:pPr>
        <w:spacing w:after="0" w:line="54" w:lineRule="exact"/>
        <w:rPr>
          <w:rFonts w:ascii="Arial" w:cs="Arial" w:eastAsia="Arial" w:hAnsi="Arial"/>
          <w:sz w:val="20"/>
          <w:szCs w:val="20"/>
          <w:color w:val="auto"/>
        </w:rPr>
      </w:pPr>
    </w:p>
    <w:p>
      <w:pPr>
        <w:jc w:val="both"/>
        <w:ind w:left="420" w:right="560" w:hanging="187"/>
        <w:spacing w:after="0" w:line="255"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director received meeting fees of $2,500 for each regularly scheduled Board meeting, and $1,000 for each special meeting of the Board and regularly scheduled or special meeting of the standing Board committees.</w:t>
      </w:r>
    </w:p>
    <w:p>
      <w:pPr>
        <w:spacing w:after="0" w:line="293" w:lineRule="exact"/>
        <w:rPr>
          <w:sz w:val="20"/>
          <w:szCs w:val="20"/>
          <w:color w:val="auto"/>
        </w:rPr>
      </w:pPr>
    </w:p>
    <w:p>
      <w:pPr>
        <w:ind w:left="140" w:right="140"/>
        <w:spacing w:after="0" w:line="259" w:lineRule="auto"/>
        <w:rPr>
          <w:sz w:val="20"/>
          <w:szCs w:val="20"/>
          <w:color w:val="auto"/>
        </w:rPr>
      </w:pPr>
      <w:r>
        <w:rPr>
          <w:rFonts w:ascii="Arial" w:cs="Arial" w:eastAsia="Arial" w:hAnsi="Arial"/>
          <w:sz w:val="20"/>
          <w:szCs w:val="20"/>
          <w:color w:val="auto"/>
        </w:rPr>
        <w:t>In connection with Mr. Casey's retirement from the Board and the appointment of Mr. Montgoris as Non-Executive Chairman in January 2025, Mr. Montgoris' annual cash retainer for service as Non-Executive Chairman was increased to$150,000and Mr. Montgoris received an additional fee of $36,667 for his service as Non-Executive Chairman through the 2025 annual meeting.</w:t>
      </w:r>
    </w:p>
    <w:p>
      <w:pPr>
        <w:spacing w:after="0" w:line="195" w:lineRule="exact"/>
        <w:rPr>
          <w:sz w:val="20"/>
          <w:szCs w:val="20"/>
          <w:color w:val="auto"/>
        </w:rPr>
      </w:pPr>
    </w:p>
    <w:p>
      <w:pPr>
        <w:ind w:left="140" w:right="760"/>
        <w:spacing w:after="0" w:line="286" w:lineRule="auto"/>
        <w:rPr>
          <w:sz w:val="20"/>
          <w:szCs w:val="20"/>
          <w:color w:val="auto"/>
        </w:rPr>
      </w:pPr>
      <w:r>
        <w:rPr>
          <w:rFonts w:ascii="Arial" w:cs="Arial" w:eastAsia="Arial" w:hAnsi="Arial"/>
          <w:sz w:val="20"/>
          <w:szCs w:val="20"/>
          <w:color w:val="auto"/>
        </w:rPr>
        <w:t>We also reimburse directors for travel expenses incurred in connection with attending Board and committee meetings and for other expenses incurred while conducting Company business.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Mr. Casey received no additional compensation for serving on the Board.</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following table provides information concerning the compensation of our non-management directors</w:t>
      </w:r>
    </w:p>
    <w:p>
      <w:pPr>
        <w:sectPr>
          <w:pgSz w:w="11900" w:h="16838" w:orient="portrait"/>
          <w:cols w:equalWidth="0" w:num="1">
            <w:col w:w="9320"/>
          </w:cols>
          <w:pgMar w:left="1440" w:top="291" w:right="1139" w:bottom="0" w:gutter="0" w:footer="0" w:header="0"/>
        </w:sectPr>
      </w:pPr>
    </w:p>
    <w:bookmarkStart w:id="26" w:name="page27"/>
    <w:bookmarkEnd w:id="26"/>
    <w:p>
      <w:pPr>
        <w:ind w:left="140"/>
        <w:spacing w:after="0"/>
        <w:rPr>
          <w:sz w:val="20"/>
          <w:szCs w:val="20"/>
          <w:color w:val="auto"/>
        </w:rPr>
      </w:pPr>
      <w:r>
        <w:rPr>
          <w:rFonts w:ascii="Arial" w:cs="Arial" w:eastAsia="Arial" w:hAnsi="Arial"/>
          <w:sz w:val="20"/>
          <w:szCs w:val="20"/>
          <w:color w:val="auto"/>
        </w:rPr>
        <w:t>serving during fiscal2024.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810375" cy="31051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310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73285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732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00" w:type="dxa"/>
            <w:vAlign w:val="bottom"/>
            <w:gridSpan w:val="2"/>
          </w:tcPr>
          <w:p>
            <w:pPr>
              <w:ind w:left="1540"/>
              <w:spacing w:after="0"/>
              <w:rPr>
                <w:sz w:val="20"/>
                <w:szCs w:val="20"/>
                <w:color w:val="auto"/>
              </w:rPr>
            </w:pPr>
            <w:r>
              <w:rPr>
                <w:rFonts w:ascii="Arial" w:cs="Arial" w:eastAsia="Arial" w:hAnsi="Arial"/>
                <w:sz w:val="13"/>
                <w:szCs w:val="13"/>
                <w:b w:val="1"/>
                <w:bCs w:val="1"/>
                <w:color w:val="123054"/>
              </w:rPr>
              <w:t>(a)</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260" w:type="dxa"/>
            <w:vAlign w:val="bottom"/>
          </w:tcPr>
          <w:p>
            <w:pPr>
              <w:spacing w:after="0"/>
              <w:rPr>
                <w:sz w:val="23"/>
                <w:szCs w:val="23"/>
                <w:color w:val="auto"/>
              </w:rPr>
            </w:pPr>
          </w:p>
        </w:tc>
        <w:tc>
          <w:tcPr>
            <w:tcW w:w="4640" w:type="dxa"/>
            <w:vAlign w:val="bottom"/>
            <w:gridSpan w:val="4"/>
          </w:tcPr>
          <w:p>
            <w:pPr>
              <w:ind w:left="20"/>
              <w:spacing w:after="0"/>
              <w:rPr>
                <w:sz w:val="20"/>
                <w:szCs w:val="20"/>
                <w:color w:val="auto"/>
              </w:rPr>
            </w:pPr>
            <w:r>
              <w:rPr>
                <w:rFonts w:ascii="Arial" w:cs="Arial" w:eastAsia="Arial" w:hAnsi="Arial"/>
                <w:sz w:val="20"/>
                <w:szCs w:val="20"/>
                <w:b w:val="1"/>
                <w:bCs w:val="1"/>
                <w:color w:val="123054"/>
                <w:w w:val="98"/>
              </w:rPr>
              <w:t>FISCAL2024 DIRECTOR COMPENSATION TABLE</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
        </w:trPr>
        <w:tc>
          <w:tcPr>
            <w:tcW w:w="2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123054"/>
          </w:tcPr>
          <w:p>
            <w:pPr>
              <w:spacing w:after="0"/>
              <w:rPr>
                <w:sz w:val="21"/>
                <w:szCs w:val="21"/>
                <w:color w:val="auto"/>
              </w:rPr>
            </w:pPr>
          </w:p>
        </w:tc>
        <w:tc>
          <w:tcPr>
            <w:tcW w:w="840" w:type="dxa"/>
            <w:vAlign w:val="bottom"/>
            <w:tcBorders>
              <w:right w:val="single" w:sz="8" w:color="123054"/>
            </w:tcBorders>
            <w:shd w:val="clear" w:color="auto" w:fill="123054"/>
          </w:tcPr>
          <w:p>
            <w:pPr>
              <w:spacing w:after="0"/>
              <w:rPr>
                <w:sz w:val="21"/>
                <w:szCs w:val="21"/>
                <w:color w:val="auto"/>
              </w:rPr>
            </w:pPr>
          </w:p>
        </w:tc>
        <w:tc>
          <w:tcPr>
            <w:tcW w:w="17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20"/>
                <w:szCs w:val="20"/>
                <w:b w:val="1"/>
                <w:bCs w:val="1"/>
                <w:color w:val="FBFBFB"/>
                <w:w w:val="99"/>
              </w:rPr>
              <w:t>Fees Earned</w:t>
            </w:r>
          </w:p>
        </w:tc>
        <w:tc>
          <w:tcPr>
            <w:tcW w:w="2100" w:type="dxa"/>
            <w:vAlign w:val="bottom"/>
            <w:gridSpan w:val="2"/>
            <w:vMerge w:val="restart"/>
            <w:shd w:val="clear" w:color="auto" w:fill="123054"/>
          </w:tcPr>
          <w:p>
            <w:pPr>
              <w:ind w:left="620"/>
              <w:spacing w:after="0"/>
              <w:rPr>
                <w:sz w:val="20"/>
                <w:szCs w:val="20"/>
                <w:color w:val="auto"/>
              </w:rPr>
            </w:pPr>
            <w:r>
              <w:rPr>
                <w:rFonts w:ascii="Arial" w:cs="Arial" w:eastAsia="Arial" w:hAnsi="Arial"/>
                <w:sz w:val="20"/>
                <w:szCs w:val="20"/>
                <w:b w:val="1"/>
                <w:bCs w:val="1"/>
                <w:color w:val="FBFBFB"/>
              </w:rPr>
              <w:t>Stock</w:t>
            </w:r>
          </w:p>
        </w:tc>
        <w:tc>
          <w:tcPr>
            <w:tcW w:w="1320" w:type="dxa"/>
            <w:vAlign w:val="bottom"/>
            <w:shd w:val="clear" w:color="auto" w:fill="12305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260" w:type="dxa"/>
            <w:vAlign w:val="bottom"/>
            <w:shd w:val="clear" w:color="auto" w:fill="123054"/>
          </w:tcPr>
          <w:p>
            <w:pPr>
              <w:spacing w:after="0"/>
              <w:rPr>
                <w:sz w:val="8"/>
                <w:szCs w:val="8"/>
                <w:color w:val="auto"/>
              </w:rPr>
            </w:pPr>
          </w:p>
        </w:tc>
        <w:tc>
          <w:tcPr>
            <w:tcW w:w="840" w:type="dxa"/>
            <w:vAlign w:val="bottom"/>
            <w:tcBorders>
              <w:right w:val="single" w:sz="8" w:color="123054"/>
            </w:tcBorders>
            <w:shd w:val="clear" w:color="auto" w:fill="123054"/>
          </w:tcPr>
          <w:p>
            <w:pPr>
              <w:spacing w:after="0"/>
              <w:rPr>
                <w:sz w:val="8"/>
                <w:szCs w:val="8"/>
                <w:color w:val="auto"/>
              </w:rPr>
            </w:pPr>
          </w:p>
        </w:tc>
        <w:tc>
          <w:tcPr>
            <w:tcW w:w="1700" w:type="dxa"/>
            <w:vAlign w:val="bottom"/>
            <w:tcBorders>
              <w:right w:val="single" w:sz="8" w:color="123054"/>
            </w:tcBorders>
            <w:vMerge w:val="restart"/>
            <w:shd w:val="clear" w:color="auto" w:fill="123054"/>
          </w:tcPr>
          <w:p>
            <w:pPr>
              <w:jc w:val="center"/>
              <w:spacing w:after="0" w:line="192" w:lineRule="exact"/>
              <w:rPr>
                <w:sz w:val="20"/>
                <w:szCs w:val="20"/>
                <w:color w:val="auto"/>
              </w:rPr>
            </w:pPr>
            <w:r>
              <w:rPr>
                <w:rFonts w:ascii="Arial" w:cs="Arial" w:eastAsia="Arial" w:hAnsi="Arial"/>
                <w:sz w:val="20"/>
                <w:szCs w:val="20"/>
                <w:b w:val="1"/>
                <w:bCs w:val="1"/>
                <w:color w:val="FBFBFB"/>
                <w:w w:val="98"/>
              </w:rPr>
              <w:t>or Paid in</w:t>
            </w:r>
          </w:p>
        </w:tc>
        <w:tc>
          <w:tcPr>
            <w:tcW w:w="2100" w:type="dxa"/>
            <w:vAlign w:val="bottom"/>
            <w:gridSpan w:val="2"/>
            <w:vMerge w:val="continue"/>
            <w:shd w:val="clear" w:color="auto" w:fill="123054"/>
          </w:tcPr>
          <w:p>
            <w:pPr>
              <w:spacing w:after="0"/>
              <w:rPr>
                <w:sz w:val="8"/>
                <w:szCs w:val="8"/>
                <w:color w:val="auto"/>
              </w:rPr>
            </w:pPr>
          </w:p>
        </w:tc>
        <w:tc>
          <w:tcPr>
            <w:tcW w:w="1320" w:type="dxa"/>
            <w:vAlign w:val="bottom"/>
            <w:shd w:val="clear" w:color="auto" w:fill="12305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60" w:type="dxa"/>
            <w:vAlign w:val="bottom"/>
            <w:shd w:val="clear" w:color="auto" w:fill="123054"/>
          </w:tcPr>
          <w:p>
            <w:pPr>
              <w:spacing w:after="0"/>
              <w:rPr>
                <w:sz w:val="8"/>
                <w:szCs w:val="8"/>
                <w:color w:val="auto"/>
              </w:rPr>
            </w:pPr>
          </w:p>
        </w:tc>
        <w:tc>
          <w:tcPr>
            <w:tcW w:w="840" w:type="dxa"/>
            <w:vAlign w:val="bottom"/>
            <w:tcBorders>
              <w:right w:val="single" w:sz="8" w:color="123054"/>
            </w:tcBorders>
            <w:shd w:val="clear" w:color="auto" w:fill="123054"/>
          </w:tcPr>
          <w:p>
            <w:pPr>
              <w:spacing w:after="0"/>
              <w:rPr>
                <w:sz w:val="8"/>
                <w:szCs w:val="8"/>
                <w:color w:val="auto"/>
              </w:rPr>
            </w:pPr>
          </w:p>
        </w:tc>
        <w:tc>
          <w:tcPr>
            <w:tcW w:w="1700" w:type="dxa"/>
            <w:vAlign w:val="bottom"/>
            <w:tcBorders>
              <w:right w:val="single" w:sz="8" w:color="123054"/>
            </w:tcBorders>
            <w:vMerge w:val="continue"/>
            <w:shd w:val="clear" w:color="auto" w:fill="123054"/>
          </w:tcPr>
          <w:p>
            <w:pPr>
              <w:spacing w:after="0"/>
              <w:rPr>
                <w:sz w:val="8"/>
                <w:szCs w:val="8"/>
                <w:color w:val="auto"/>
              </w:rPr>
            </w:pPr>
          </w:p>
        </w:tc>
        <w:tc>
          <w:tcPr>
            <w:tcW w:w="2100" w:type="dxa"/>
            <w:vAlign w:val="bottom"/>
            <w:gridSpan w:val="2"/>
            <w:vMerge w:val="restart"/>
            <w:shd w:val="clear" w:color="auto" w:fill="123054"/>
          </w:tcPr>
          <w:p>
            <w:pPr>
              <w:ind w:left="540"/>
              <w:spacing w:after="0" w:line="199" w:lineRule="exact"/>
              <w:rPr>
                <w:sz w:val="20"/>
                <w:szCs w:val="20"/>
                <w:color w:val="auto"/>
              </w:rPr>
            </w:pPr>
            <w:r>
              <w:rPr>
                <w:rFonts w:ascii="Arial" w:cs="Arial" w:eastAsia="Arial" w:hAnsi="Arial"/>
                <w:sz w:val="20"/>
                <w:szCs w:val="20"/>
                <w:b w:val="1"/>
                <w:bCs w:val="1"/>
                <w:color w:val="FBFBFB"/>
              </w:rPr>
              <w:t>Awards</w:t>
            </w:r>
          </w:p>
        </w:tc>
        <w:tc>
          <w:tcPr>
            <w:tcW w:w="1320" w:type="dxa"/>
            <w:vAlign w:val="bottom"/>
            <w:shd w:val="clear" w:color="auto" w:fill="12305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260" w:type="dxa"/>
            <w:vAlign w:val="bottom"/>
            <w:shd w:val="clear" w:color="auto" w:fill="123054"/>
          </w:tcPr>
          <w:p>
            <w:pPr>
              <w:spacing w:after="0"/>
              <w:rPr>
                <w:sz w:val="9"/>
                <w:szCs w:val="9"/>
                <w:color w:val="auto"/>
              </w:rPr>
            </w:pPr>
          </w:p>
        </w:tc>
        <w:tc>
          <w:tcPr>
            <w:tcW w:w="840" w:type="dxa"/>
            <w:vAlign w:val="bottom"/>
            <w:tcBorders>
              <w:right w:val="single" w:sz="8" w:color="123054"/>
            </w:tcBorders>
            <w:shd w:val="clear" w:color="auto" w:fill="123054"/>
          </w:tcPr>
          <w:p>
            <w:pPr>
              <w:spacing w:after="0"/>
              <w:rPr>
                <w:sz w:val="9"/>
                <w:szCs w:val="9"/>
                <w:color w:val="auto"/>
              </w:rPr>
            </w:pPr>
          </w:p>
        </w:tc>
        <w:tc>
          <w:tcPr>
            <w:tcW w:w="1700" w:type="dxa"/>
            <w:vAlign w:val="bottom"/>
            <w:tcBorders>
              <w:right w:val="single" w:sz="8" w:color="123054"/>
            </w:tcBorders>
            <w:vMerge w:val="restart"/>
            <w:shd w:val="clear" w:color="auto" w:fill="123054"/>
          </w:tcPr>
          <w:p>
            <w:pPr>
              <w:jc w:val="center"/>
              <w:spacing w:after="0" w:line="203" w:lineRule="exact"/>
              <w:rPr>
                <w:sz w:val="20"/>
                <w:szCs w:val="20"/>
                <w:color w:val="auto"/>
              </w:rPr>
            </w:pPr>
            <w:r>
              <w:rPr>
                <w:rFonts w:ascii="Arial" w:cs="Arial" w:eastAsia="Arial" w:hAnsi="Arial"/>
                <w:sz w:val="20"/>
                <w:szCs w:val="20"/>
                <w:b w:val="1"/>
                <w:bCs w:val="1"/>
                <w:color w:val="FBFBFB"/>
                <w:w w:val="98"/>
              </w:rPr>
              <w:t>Cash</w:t>
            </w:r>
          </w:p>
        </w:tc>
        <w:tc>
          <w:tcPr>
            <w:tcW w:w="2100" w:type="dxa"/>
            <w:vAlign w:val="bottom"/>
            <w:gridSpan w:val="2"/>
            <w:vMerge w:val="continue"/>
            <w:shd w:val="clear" w:color="auto" w:fill="123054"/>
          </w:tcPr>
          <w:p>
            <w:pPr>
              <w:spacing w:after="0"/>
              <w:rPr>
                <w:sz w:val="9"/>
                <w:szCs w:val="9"/>
                <w:color w:val="auto"/>
              </w:rPr>
            </w:pPr>
          </w:p>
        </w:tc>
        <w:tc>
          <w:tcPr>
            <w:tcW w:w="1320" w:type="dxa"/>
            <w:vAlign w:val="bottom"/>
            <w:vMerge w:val="restart"/>
            <w:shd w:val="clear" w:color="auto" w:fill="123054"/>
          </w:tcPr>
          <w:p>
            <w:pPr>
              <w:ind w:left="120"/>
              <w:spacing w:after="0" w:line="203" w:lineRule="exact"/>
              <w:rPr>
                <w:sz w:val="20"/>
                <w:szCs w:val="20"/>
                <w:color w:val="auto"/>
              </w:rPr>
            </w:pPr>
            <w:r>
              <w:rPr>
                <w:rFonts w:ascii="Arial" w:cs="Arial" w:eastAsia="Arial" w:hAnsi="Arial"/>
                <w:sz w:val="20"/>
                <w:szCs w:val="20"/>
                <w:b w:val="1"/>
                <w:bCs w:val="1"/>
                <w:color w:val="FBFBFB"/>
              </w:rPr>
              <w:t>Total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260" w:type="dxa"/>
            <w:vAlign w:val="bottom"/>
            <w:shd w:val="clear" w:color="auto" w:fill="123054"/>
          </w:tcPr>
          <w:p>
            <w:pPr>
              <w:spacing w:after="0"/>
              <w:rPr>
                <w:sz w:val="8"/>
                <w:szCs w:val="8"/>
                <w:color w:val="auto"/>
              </w:rPr>
            </w:pPr>
          </w:p>
        </w:tc>
        <w:tc>
          <w:tcPr>
            <w:tcW w:w="840" w:type="dxa"/>
            <w:vAlign w:val="bottom"/>
            <w:tcBorders>
              <w:right w:val="single" w:sz="8" w:color="123054"/>
            </w:tcBorders>
            <w:shd w:val="clear" w:color="auto" w:fill="123054"/>
          </w:tcPr>
          <w:p>
            <w:pPr>
              <w:spacing w:after="0"/>
              <w:rPr>
                <w:sz w:val="8"/>
                <w:szCs w:val="8"/>
                <w:color w:val="auto"/>
              </w:rPr>
            </w:pPr>
          </w:p>
        </w:tc>
        <w:tc>
          <w:tcPr>
            <w:tcW w:w="1700" w:type="dxa"/>
            <w:vAlign w:val="bottom"/>
            <w:tcBorders>
              <w:right w:val="single" w:sz="8" w:color="123054"/>
            </w:tcBorders>
            <w:vMerge w:val="continue"/>
            <w:shd w:val="clear" w:color="auto" w:fill="123054"/>
          </w:tcPr>
          <w:p>
            <w:pPr>
              <w:spacing w:after="0"/>
              <w:rPr>
                <w:sz w:val="8"/>
                <w:szCs w:val="8"/>
                <w:color w:val="auto"/>
              </w:rPr>
            </w:pPr>
          </w:p>
        </w:tc>
        <w:tc>
          <w:tcPr>
            <w:tcW w:w="1760" w:type="dxa"/>
            <w:vAlign w:val="bottom"/>
            <w:tcBorders>
              <w:right w:val="single" w:sz="8" w:color="123054"/>
            </w:tcBorders>
            <w:vMerge w:val="restart"/>
            <w:shd w:val="clear" w:color="auto" w:fill="123054"/>
          </w:tcPr>
          <w:p>
            <w:pPr>
              <w:ind w:left="740"/>
              <w:spacing w:after="0" w:line="192" w:lineRule="exact"/>
              <w:rPr>
                <w:sz w:val="20"/>
                <w:szCs w:val="20"/>
                <w:color w:val="auto"/>
              </w:rPr>
            </w:pPr>
            <w:r>
              <w:rPr>
                <w:rFonts w:ascii="Arial" w:cs="Arial" w:eastAsia="Arial" w:hAnsi="Arial"/>
                <w:sz w:val="20"/>
                <w:szCs w:val="20"/>
                <w:b w:val="1"/>
                <w:bCs w:val="1"/>
                <w:color w:val="FBFBFB"/>
              </w:rPr>
              <w:t>($)</w:t>
            </w:r>
          </w:p>
        </w:tc>
        <w:tc>
          <w:tcPr>
            <w:tcW w:w="340" w:type="dxa"/>
            <w:vAlign w:val="bottom"/>
            <w:shd w:val="clear" w:color="auto" w:fill="123054"/>
          </w:tcPr>
          <w:p>
            <w:pPr>
              <w:spacing w:after="0"/>
              <w:rPr>
                <w:sz w:val="8"/>
                <w:szCs w:val="8"/>
                <w:color w:val="auto"/>
              </w:rPr>
            </w:pPr>
          </w:p>
        </w:tc>
        <w:tc>
          <w:tcPr>
            <w:tcW w:w="1320" w:type="dxa"/>
            <w:vAlign w:val="bottom"/>
            <w:vMerge w:val="continue"/>
            <w:shd w:val="clear" w:color="auto" w:fill="12305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60" w:type="dxa"/>
            <w:vAlign w:val="bottom"/>
            <w:shd w:val="clear" w:color="auto" w:fill="123054"/>
          </w:tcPr>
          <w:p>
            <w:pPr>
              <w:spacing w:after="0"/>
              <w:rPr>
                <w:sz w:val="8"/>
                <w:szCs w:val="8"/>
                <w:color w:val="auto"/>
              </w:rPr>
            </w:pPr>
          </w:p>
        </w:tc>
        <w:tc>
          <w:tcPr>
            <w:tcW w:w="2540" w:type="dxa"/>
            <w:vAlign w:val="bottom"/>
            <w:tcBorders>
              <w:right w:val="single" w:sz="8" w:color="123054"/>
            </w:tcBorders>
            <w:gridSpan w:val="2"/>
            <w:vMerge w:val="restart"/>
            <w:shd w:val="clear" w:color="auto" w:fill="123054"/>
          </w:tcPr>
          <w:p>
            <w:pPr>
              <w:ind w:left="1560"/>
              <w:spacing w:after="0" w:line="203" w:lineRule="exact"/>
              <w:rPr>
                <w:sz w:val="20"/>
                <w:szCs w:val="20"/>
                <w:color w:val="auto"/>
              </w:rPr>
            </w:pPr>
            <w:r>
              <w:rPr>
                <w:rFonts w:ascii="Arial" w:cs="Arial" w:eastAsia="Arial" w:hAnsi="Arial"/>
                <w:sz w:val="20"/>
                <w:szCs w:val="20"/>
                <w:b w:val="1"/>
                <w:bCs w:val="1"/>
                <w:color w:val="FBFBFB"/>
              </w:rPr>
              <w:t>($)</w:t>
            </w:r>
          </w:p>
        </w:tc>
        <w:tc>
          <w:tcPr>
            <w:tcW w:w="1760" w:type="dxa"/>
            <w:vAlign w:val="bottom"/>
            <w:tcBorders>
              <w:right w:val="single" w:sz="8" w:color="123054"/>
            </w:tcBorders>
            <w:vMerge w:val="continue"/>
            <w:shd w:val="clear" w:color="auto" w:fill="123054"/>
          </w:tcPr>
          <w:p>
            <w:pPr>
              <w:spacing w:after="0"/>
              <w:rPr>
                <w:sz w:val="8"/>
                <w:szCs w:val="8"/>
                <w:color w:val="auto"/>
              </w:rPr>
            </w:pPr>
          </w:p>
        </w:tc>
        <w:tc>
          <w:tcPr>
            <w:tcW w:w="340" w:type="dxa"/>
            <w:vAlign w:val="bottom"/>
            <w:shd w:val="clear" w:color="auto" w:fill="123054"/>
          </w:tcPr>
          <w:p>
            <w:pPr>
              <w:spacing w:after="0"/>
              <w:rPr>
                <w:sz w:val="8"/>
                <w:szCs w:val="8"/>
                <w:color w:val="auto"/>
              </w:rPr>
            </w:pPr>
          </w:p>
        </w:tc>
        <w:tc>
          <w:tcPr>
            <w:tcW w:w="1320" w:type="dxa"/>
            <w:vAlign w:val="bottom"/>
            <w:shd w:val="clear" w:color="auto" w:fill="12305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123054"/>
          </w:tcPr>
          <w:p>
            <w:pPr>
              <w:spacing w:after="0"/>
              <w:rPr>
                <w:sz w:val="9"/>
                <w:szCs w:val="9"/>
                <w:color w:val="auto"/>
              </w:rPr>
            </w:pPr>
          </w:p>
        </w:tc>
        <w:tc>
          <w:tcPr>
            <w:tcW w:w="2540" w:type="dxa"/>
            <w:vAlign w:val="bottom"/>
            <w:tcBorders>
              <w:right w:val="single" w:sz="8" w:color="123054"/>
            </w:tcBorders>
            <w:gridSpan w:val="2"/>
            <w:vMerge w:val="continue"/>
            <w:shd w:val="clear" w:color="auto" w:fill="123054"/>
          </w:tcPr>
          <w:p>
            <w:pPr>
              <w:spacing w:after="0"/>
              <w:rPr>
                <w:sz w:val="9"/>
                <w:szCs w:val="9"/>
                <w:color w:val="auto"/>
              </w:rPr>
            </w:pPr>
          </w:p>
        </w:tc>
        <w:tc>
          <w:tcPr>
            <w:tcW w:w="2100" w:type="dxa"/>
            <w:vAlign w:val="bottom"/>
            <w:gridSpan w:val="2"/>
            <w:vMerge w:val="restart"/>
            <w:shd w:val="clear" w:color="auto" w:fill="123054"/>
          </w:tcPr>
          <w:p>
            <w:pPr>
              <w:ind w:left="760"/>
              <w:spacing w:after="0"/>
              <w:rPr>
                <w:sz w:val="20"/>
                <w:szCs w:val="20"/>
                <w:color w:val="auto"/>
              </w:rPr>
            </w:pPr>
            <w:r>
              <w:rPr>
                <w:rFonts w:ascii="Arial" w:cs="Arial" w:eastAsia="Arial" w:hAnsi="Arial"/>
                <w:sz w:val="20"/>
                <w:szCs w:val="20"/>
                <w:b w:val="1"/>
                <w:bCs w:val="1"/>
                <w:color w:val="FBFBFB"/>
              </w:rPr>
              <w:t>(c)</w:t>
            </w:r>
          </w:p>
        </w:tc>
        <w:tc>
          <w:tcPr>
            <w:tcW w:w="1320" w:type="dxa"/>
            <w:vAlign w:val="bottom"/>
            <w:shd w:val="clear" w:color="auto" w:fill="123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260" w:type="dxa"/>
            <w:vAlign w:val="bottom"/>
            <w:vMerge w:val="restart"/>
            <w:shd w:val="clear" w:color="auto" w:fill="123054"/>
          </w:tcPr>
          <w:p>
            <w:pPr>
              <w:ind w:left="120"/>
              <w:spacing w:after="0"/>
              <w:rPr>
                <w:sz w:val="20"/>
                <w:szCs w:val="20"/>
                <w:color w:val="auto"/>
              </w:rPr>
            </w:pPr>
            <w:r>
              <w:rPr>
                <w:rFonts w:ascii="Arial" w:cs="Arial" w:eastAsia="Arial" w:hAnsi="Arial"/>
                <w:sz w:val="20"/>
                <w:szCs w:val="20"/>
                <w:b w:val="1"/>
                <w:bCs w:val="1"/>
                <w:color w:val="FBFBFB"/>
              </w:rPr>
              <w:t>Name</w:t>
            </w:r>
          </w:p>
        </w:tc>
        <w:tc>
          <w:tcPr>
            <w:tcW w:w="840" w:type="dxa"/>
            <w:vAlign w:val="bottom"/>
            <w:tcBorders>
              <w:right w:val="single" w:sz="8" w:color="123054"/>
            </w:tcBorders>
            <w:shd w:val="clear" w:color="auto" w:fill="123054"/>
          </w:tcPr>
          <w:p>
            <w:pPr>
              <w:spacing w:after="0"/>
              <w:rPr>
                <w:sz w:val="14"/>
                <w:szCs w:val="14"/>
                <w:color w:val="auto"/>
              </w:rPr>
            </w:pPr>
          </w:p>
        </w:tc>
        <w:tc>
          <w:tcPr>
            <w:tcW w:w="1700" w:type="dxa"/>
            <w:vAlign w:val="bottom"/>
            <w:tcBorders>
              <w:right w:val="single" w:sz="8" w:color="123054"/>
            </w:tcBorders>
            <w:vMerge w:val="restart"/>
            <w:shd w:val="clear" w:color="auto" w:fill="123054"/>
          </w:tcPr>
          <w:p>
            <w:pPr>
              <w:ind w:left="700"/>
              <w:spacing w:after="0"/>
              <w:rPr>
                <w:sz w:val="20"/>
                <w:szCs w:val="20"/>
                <w:color w:val="auto"/>
              </w:rPr>
            </w:pPr>
            <w:r>
              <w:rPr>
                <w:rFonts w:ascii="Arial" w:cs="Arial" w:eastAsia="Arial" w:hAnsi="Arial"/>
                <w:sz w:val="20"/>
                <w:szCs w:val="20"/>
                <w:b w:val="1"/>
                <w:bCs w:val="1"/>
                <w:color w:val="FBFBFB"/>
              </w:rPr>
              <w:t>(b)</w:t>
            </w:r>
          </w:p>
        </w:tc>
        <w:tc>
          <w:tcPr>
            <w:tcW w:w="2100" w:type="dxa"/>
            <w:vAlign w:val="bottom"/>
            <w:gridSpan w:val="2"/>
            <w:vMerge w:val="continue"/>
            <w:shd w:val="clear" w:color="auto" w:fill="123054"/>
          </w:tcPr>
          <w:p>
            <w:pPr>
              <w:spacing w:after="0"/>
              <w:rPr>
                <w:sz w:val="14"/>
                <w:szCs w:val="14"/>
                <w:color w:val="auto"/>
              </w:rPr>
            </w:pPr>
          </w:p>
        </w:tc>
        <w:tc>
          <w:tcPr>
            <w:tcW w:w="1320" w:type="dxa"/>
            <w:vAlign w:val="bottom"/>
            <w:shd w:val="clear" w:color="auto" w:fill="12305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60" w:type="dxa"/>
            <w:vAlign w:val="bottom"/>
            <w:vMerge w:val="continue"/>
            <w:shd w:val="clear" w:color="auto" w:fill="123054"/>
          </w:tcPr>
          <w:p>
            <w:pPr>
              <w:spacing w:after="0"/>
              <w:rPr>
                <w:sz w:val="11"/>
                <w:szCs w:val="11"/>
                <w:color w:val="auto"/>
              </w:rPr>
            </w:pPr>
          </w:p>
        </w:tc>
        <w:tc>
          <w:tcPr>
            <w:tcW w:w="840" w:type="dxa"/>
            <w:vAlign w:val="bottom"/>
            <w:tcBorders>
              <w:right w:val="single" w:sz="8" w:color="123054"/>
            </w:tcBorders>
            <w:shd w:val="clear" w:color="auto" w:fill="123054"/>
          </w:tcPr>
          <w:p>
            <w:pPr>
              <w:spacing w:after="0"/>
              <w:rPr>
                <w:sz w:val="11"/>
                <w:szCs w:val="11"/>
                <w:color w:val="auto"/>
              </w:rPr>
            </w:pPr>
          </w:p>
        </w:tc>
        <w:tc>
          <w:tcPr>
            <w:tcW w:w="1700" w:type="dxa"/>
            <w:vAlign w:val="bottom"/>
            <w:tcBorders>
              <w:right w:val="single" w:sz="8" w:color="123054"/>
            </w:tcBorders>
            <w:vMerge w:val="continue"/>
            <w:shd w:val="clear" w:color="auto" w:fill="123054"/>
          </w:tcPr>
          <w:p>
            <w:pPr>
              <w:spacing w:after="0"/>
              <w:rPr>
                <w:sz w:val="11"/>
                <w:szCs w:val="11"/>
                <w:color w:val="auto"/>
              </w:rPr>
            </w:pPr>
          </w:p>
        </w:tc>
        <w:tc>
          <w:tcPr>
            <w:tcW w:w="1760" w:type="dxa"/>
            <w:vAlign w:val="bottom"/>
            <w:tcBorders>
              <w:right w:val="single" w:sz="8" w:color="123054"/>
            </w:tcBorders>
            <w:shd w:val="clear" w:color="auto" w:fill="123054"/>
          </w:tcPr>
          <w:p>
            <w:pPr>
              <w:spacing w:after="0"/>
              <w:rPr>
                <w:sz w:val="11"/>
                <w:szCs w:val="11"/>
                <w:color w:val="auto"/>
              </w:rPr>
            </w:pPr>
          </w:p>
        </w:tc>
        <w:tc>
          <w:tcPr>
            <w:tcW w:w="340" w:type="dxa"/>
            <w:vAlign w:val="bottom"/>
            <w:shd w:val="clear" w:color="auto" w:fill="123054"/>
          </w:tcPr>
          <w:p>
            <w:pPr>
              <w:spacing w:after="0"/>
              <w:rPr>
                <w:sz w:val="11"/>
                <w:szCs w:val="11"/>
                <w:color w:val="auto"/>
              </w:rPr>
            </w:pPr>
          </w:p>
        </w:tc>
        <w:tc>
          <w:tcPr>
            <w:tcW w:w="1320" w:type="dxa"/>
            <w:vAlign w:val="bottom"/>
            <w:shd w:val="clear" w:color="auto" w:fill="12305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140"/>
              <w:spacing w:after="0"/>
              <w:rPr>
                <w:sz w:val="20"/>
                <w:szCs w:val="20"/>
                <w:color w:val="auto"/>
              </w:rPr>
            </w:pPr>
            <w:r>
              <w:rPr>
                <w:rFonts w:ascii="Arial" w:cs="Arial" w:eastAsia="Arial" w:hAnsi="Arial"/>
                <w:sz w:val="20"/>
                <w:szCs w:val="20"/>
                <w:color w:val="auto"/>
                <w:w w:val="97"/>
              </w:rPr>
              <w:t>Rochester Anderson, Jr.</w:t>
            </w:r>
          </w:p>
        </w:tc>
        <w:tc>
          <w:tcPr>
            <w:tcW w:w="840" w:type="dxa"/>
            <w:vAlign w:val="bottom"/>
            <w:tcBorders>
              <w:right w:val="single" w:sz="8" w:color="123054"/>
            </w:tcBorders>
          </w:tcPr>
          <w:p>
            <w:pPr>
              <w:spacing w:after="0"/>
              <w:rPr>
                <w:sz w:val="23"/>
                <w:szCs w:val="23"/>
                <w:color w:val="auto"/>
              </w:rPr>
            </w:pPr>
          </w:p>
        </w:tc>
        <w:tc>
          <w:tcPr>
            <w:tcW w:w="1700" w:type="dxa"/>
            <w:vAlign w:val="bottom"/>
            <w:tcBorders>
              <w:right w:val="single" w:sz="8" w:color="123054"/>
            </w:tcBorders>
          </w:tcPr>
          <w:p>
            <w:pPr>
              <w:ind w:left="480"/>
              <w:spacing w:after="0"/>
              <w:rPr>
                <w:sz w:val="20"/>
                <w:szCs w:val="20"/>
                <w:color w:val="auto"/>
              </w:rPr>
            </w:pPr>
            <w:r>
              <w:rPr>
                <w:rFonts w:ascii="Arial" w:cs="Arial" w:eastAsia="Arial" w:hAnsi="Arial"/>
                <w:sz w:val="20"/>
                <w:szCs w:val="20"/>
                <w:color w:val="auto"/>
              </w:rPr>
              <w:t>$122,000</w:t>
            </w:r>
          </w:p>
        </w:tc>
        <w:tc>
          <w:tcPr>
            <w:tcW w:w="1760" w:type="dxa"/>
            <w:vAlign w:val="bottom"/>
            <w:tcBorders>
              <w:right w:val="single" w:sz="8" w:color="123054"/>
            </w:tcBorders>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Pr>
          <w:p>
            <w:pPr>
              <w:spacing w:after="0"/>
              <w:rPr>
                <w:sz w:val="23"/>
                <w:szCs w:val="23"/>
                <w:color w:val="auto"/>
              </w:rPr>
            </w:pPr>
          </w:p>
        </w:tc>
        <w:tc>
          <w:tcPr>
            <w:tcW w:w="1320" w:type="dxa"/>
            <w:vAlign w:val="bottom"/>
          </w:tcPr>
          <w:p>
            <w:pPr>
              <w:ind w:left="120"/>
              <w:spacing w:after="0"/>
              <w:rPr>
                <w:sz w:val="20"/>
                <w:szCs w:val="20"/>
                <w:color w:val="auto"/>
              </w:rPr>
            </w:pPr>
            <w:r>
              <w:rPr>
                <w:rFonts w:ascii="Arial" w:cs="Arial" w:eastAsia="Arial" w:hAnsi="Arial"/>
                <w:sz w:val="20"/>
                <w:szCs w:val="20"/>
                <w:color w:val="auto"/>
              </w:rPr>
              <w:t>$282,006</w:t>
            </w:r>
          </w:p>
        </w:tc>
        <w:tc>
          <w:tcPr>
            <w:tcW w:w="20" w:type="dxa"/>
            <w:vAlign w:val="bottom"/>
            <w:shd w:val="clear" w:color="auto" w:fill="123054"/>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260" w:type="dxa"/>
            <w:vAlign w:val="bottom"/>
            <w:shd w:val="clear" w:color="auto" w:fill="E4E4E4"/>
          </w:tcPr>
          <w:p>
            <w:pPr>
              <w:ind w:left="140"/>
              <w:spacing w:after="0"/>
              <w:rPr>
                <w:sz w:val="20"/>
                <w:szCs w:val="20"/>
                <w:color w:val="auto"/>
              </w:rPr>
            </w:pPr>
            <w:r>
              <w:rPr>
                <w:rFonts w:ascii="Arial" w:cs="Arial" w:eastAsia="Arial" w:hAnsi="Arial"/>
                <w:sz w:val="20"/>
                <w:szCs w:val="20"/>
                <w:color w:val="auto"/>
              </w:rPr>
              <w:t>Jeffrey H. Black</w:t>
            </w:r>
          </w:p>
        </w:tc>
        <w:tc>
          <w:tcPr>
            <w:tcW w:w="840" w:type="dxa"/>
            <w:vAlign w:val="bottom"/>
            <w:tcBorders>
              <w:right w:val="single" w:sz="8" w:color="123054"/>
            </w:tcBorders>
            <w:shd w:val="clear" w:color="auto" w:fill="E4E4E4"/>
          </w:tcPr>
          <w:p>
            <w:pPr>
              <w:spacing w:after="0"/>
              <w:rPr>
                <w:sz w:val="24"/>
                <w:szCs w:val="24"/>
                <w:color w:val="auto"/>
              </w:rPr>
            </w:pPr>
          </w:p>
        </w:tc>
        <w:tc>
          <w:tcPr>
            <w:tcW w:w="1700" w:type="dxa"/>
            <w:vAlign w:val="bottom"/>
            <w:tcBorders>
              <w:right w:val="single" w:sz="8" w:color="123054"/>
            </w:tcBorders>
            <w:shd w:val="clear" w:color="auto" w:fill="E4E4E4"/>
          </w:tcPr>
          <w:p>
            <w:pPr>
              <w:ind w:left="480"/>
              <w:spacing w:after="0"/>
              <w:rPr>
                <w:sz w:val="20"/>
                <w:szCs w:val="20"/>
                <w:color w:val="auto"/>
              </w:rPr>
            </w:pPr>
            <w:r>
              <w:rPr>
                <w:rFonts w:ascii="Arial" w:cs="Arial" w:eastAsia="Arial" w:hAnsi="Arial"/>
                <w:sz w:val="20"/>
                <w:szCs w:val="20"/>
                <w:color w:val="auto"/>
              </w:rPr>
              <w:t>$119,000</w:t>
            </w:r>
          </w:p>
        </w:tc>
        <w:tc>
          <w:tcPr>
            <w:tcW w:w="1760" w:type="dxa"/>
            <w:vAlign w:val="bottom"/>
            <w:tcBorders>
              <w:right w:val="single" w:sz="8" w:color="123054"/>
            </w:tcBorders>
            <w:shd w:val="clear" w:color="auto" w:fill="E4E4E4"/>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shd w:val="clear" w:color="auto" w:fill="E4E4E4"/>
          </w:tcPr>
          <w:p>
            <w:pPr>
              <w:spacing w:after="0"/>
              <w:rPr>
                <w:sz w:val="24"/>
                <w:szCs w:val="24"/>
                <w:color w:val="auto"/>
              </w:rPr>
            </w:pPr>
          </w:p>
        </w:tc>
        <w:tc>
          <w:tcPr>
            <w:tcW w:w="1320" w:type="dxa"/>
            <w:vAlign w:val="bottom"/>
            <w:shd w:val="clear" w:color="auto" w:fill="E4E4E4"/>
          </w:tcPr>
          <w:p>
            <w:pPr>
              <w:ind w:left="120"/>
              <w:spacing w:after="0"/>
              <w:rPr>
                <w:sz w:val="20"/>
                <w:szCs w:val="20"/>
                <w:color w:val="auto"/>
              </w:rPr>
            </w:pPr>
            <w:r>
              <w:rPr>
                <w:rFonts w:ascii="Arial" w:cs="Arial" w:eastAsia="Arial" w:hAnsi="Arial"/>
                <w:sz w:val="20"/>
                <w:szCs w:val="20"/>
                <w:color w:val="auto"/>
              </w:rPr>
              <w:t>$279,006</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140"/>
              <w:spacing w:after="0"/>
              <w:rPr>
                <w:sz w:val="20"/>
                <w:szCs w:val="20"/>
                <w:color w:val="auto"/>
              </w:rPr>
            </w:pPr>
            <w:r>
              <w:rPr>
                <w:rFonts w:ascii="Arial" w:cs="Arial" w:eastAsia="Arial" w:hAnsi="Arial"/>
                <w:sz w:val="20"/>
                <w:szCs w:val="20"/>
                <w:color w:val="auto"/>
              </w:rPr>
              <w:t>Hali Borenstein</w:t>
            </w:r>
          </w:p>
        </w:tc>
        <w:tc>
          <w:tcPr>
            <w:tcW w:w="840" w:type="dxa"/>
            <w:vAlign w:val="bottom"/>
            <w:tcBorders>
              <w:right w:val="single" w:sz="8" w:color="123054"/>
            </w:tcBorders>
          </w:tcPr>
          <w:p>
            <w:pPr>
              <w:spacing w:after="0"/>
              <w:rPr>
                <w:sz w:val="23"/>
                <w:szCs w:val="23"/>
                <w:color w:val="auto"/>
              </w:rPr>
            </w:pPr>
          </w:p>
        </w:tc>
        <w:tc>
          <w:tcPr>
            <w:tcW w:w="1700" w:type="dxa"/>
            <w:vAlign w:val="bottom"/>
            <w:tcBorders>
              <w:right w:val="single" w:sz="8" w:color="123054"/>
            </w:tcBorders>
          </w:tcPr>
          <w:p>
            <w:pPr>
              <w:ind w:left="480"/>
              <w:spacing w:after="0"/>
              <w:rPr>
                <w:sz w:val="20"/>
                <w:szCs w:val="20"/>
                <w:color w:val="auto"/>
              </w:rPr>
            </w:pPr>
            <w:r>
              <w:rPr>
                <w:rFonts w:ascii="Arial" w:cs="Arial" w:eastAsia="Arial" w:hAnsi="Arial"/>
                <w:sz w:val="20"/>
                <w:szCs w:val="20"/>
                <w:color w:val="auto"/>
              </w:rPr>
              <w:t>$123,000</w:t>
            </w:r>
          </w:p>
        </w:tc>
        <w:tc>
          <w:tcPr>
            <w:tcW w:w="1760" w:type="dxa"/>
            <w:vAlign w:val="bottom"/>
            <w:tcBorders>
              <w:right w:val="single" w:sz="8" w:color="123054"/>
            </w:tcBorders>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Pr>
          <w:p>
            <w:pPr>
              <w:spacing w:after="0"/>
              <w:rPr>
                <w:sz w:val="23"/>
                <w:szCs w:val="23"/>
                <w:color w:val="auto"/>
              </w:rPr>
            </w:pPr>
          </w:p>
        </w:tc>
        <w:tc>
          <w:tcPr>
            <w:tcW w:w="1320" w:type="dxa"/>
            <w:vAlign w:val="bottom"/>
          </w:tcPr>
          <w:p>
            <w:pPr>
              <w:ind w:left="120"/>
              <w:spacing w:after="0"/>
              <w:rPr>
                <w:sz w:val="20"/>
                <w:szCs w:val="20"/>
                <w:color w:val="auto"/>
              </w:rPr>
            </w:pPr>
            <w:r>
              <w:rPr>
                <w:rFonts w:ascii="Arial" w:cs="Arial" w:eastAsia="Arial" w:hAnsi="Arial"/>
                <w:sz w:val="20"/>
                <w:szCs w:val="20"/>
                <w:color w:val="auto"/>
              </w:rPr>
              <w:t>$283,006</w:t>
            </w:r>
          </w:p>
        </w:tc>
        <w:tc>
          <w:tcPr>
            <w:tcW w:w="20" w:type="dxa"/>
            <w:vAlign w:val="bottom"/>
            <w:shd w:val="clear" w:color="auto" w:fill="123054"/>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260" w:type="dxa"/>
            <w:vAlign w:val="bottom"/>
            <w:shd w:val="clear" w:color="auto" w:fill="DBDBDB"/>
          </w:tcPr>
          <w:p>
            <w:pPr>
              <w:ind w:left="140"/>
              <w:spacing w:after="0"/>
              <w:rPr>
                <w:sz w:val="20"/>
                <w:szCs w:val="20"/>
                <w:color w:val="auto"/>
              </w:rPr>
            </w:pPr>
            <w:r>
              <w:rPr>
                <w:rFonts w:ascii="Arial" w:cs="Arial" w:eastAsia="Arial" w:hAnsi="Arial"/>
                <w:sz w:val="20"/>
                <w:szCs w:val="20"/>
                <w:color w:val="auto"/>
              </w:rPr>
              <w:t>Luis Borgen</w:t>
            </w:r>
          </w:p>
        </w:tc>
        <w:tc>
          <w:tcPr>
            <w:tcW w:w="840" w:type="dxa"/>
            <w:vAlign w:val="bottom"/>
            <w:tcBorders>
              <w:right w:val="single" w:sz="8" w:color="123054"/>
            </w:tcBorders>
            <w:shd w:val="clear" w:color="auto" w:fill="DBDBDB"/>
          </w:tcPr>
          <w:p>
            <w:pPr>
              <w:spacing w:after="0"/>
              <w:rPr>
                <w:sz w:val="24"/>
                <w:szCs w:val="24"/>
                <w:color w:val="auto"/>
              </w:rPr>
            </w:pPr>
          </w:p>
        </w:tc>
        <w:tc>
          <w:tcPr>
            <w:tcW w:w="1700" w:type="dxa"/>
            <w:vAlign w:val="bottom"/>
            <w:tcBorders>
              <w:right w:val="single" w:sz="8" w:color="123054"/>
            </w:tcBorders>
            <w:shd w:val="clear" w:color="auto" w:fill="DBDBDB"/>
          </w:tcPr>
          <w:p>
            <w:pPr>
              <w:ind w:left="480"/>
              <w:spacing w:after="0"/>
              <w:rPr>
                <w:sz w:val="20"/>
                <w:szCs w:val="20"/>
                <w:color w:val="auto"/>
              </w:rPr>
            </w:pPr>
            <w:r>
              <w:rPr>
                <w:rFonts w:ascii="Arial" w:cs="Arial" w:eastAsia="Arial" w:hAnsi="Arial"/>
                <w:sz w:val="20"/>
                <w:szCs w:val="20"/>
                <w:color w:val="auto"/>
              </w:rPr>
              <w:t>$132,000</w:t>
            </w:r>
          </w:p>
        </w:tc>
        <w:tc>
          <w:tcPr>
            <w:tcW w:w="1760" w:type="dxa"/>
            <w:vAlign w:val="bottom"/>
            <w:tcBorders>
              <w:right w:val="single" w:sz="8" w:color="123054"/>
            </w:tcBorders>
            <w:shd w:val="clear" w:color="auto" w:fill="DBDBDB"/>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shd w:val="clear" w:color="auto" w:fill="DBDBDB"/>
          </w:tcPr>
          <w:p>
            <w:pPr>
              <w:spacing w:after="0"/>
              <w:rPr>
                <w:sz w:val="24"/>
                <w:szCs w:val="24"/>
                <w:color w:val="auto"/>
              </w:rPr>
            </w:pPr>
          </w:p>
        </w:tc>
        <w:tc>
          <w:tcPr>
            <w:tcW w:w="1320" w:type="dxa"/>
            <w:vAlign w:val="bottom"/>
            <w:shd w:val="clear" w:color="auto" w:fill="DBDBDB"/>
          </w:tcPr>
          <w:p>
            <w:pPr>
              <w:ind w:left="120"/>
              <w:spacing w:after="0"/>
              <w:rPr>
                <w:sz w:val="20"/>
                <w:szCs w:val="20"/>
                <w:color w:val="auto"/>
              </w:rPr>
            </w:pPr>
            <w:r>
              <w:rPr>
                <w:rFonts w:ascii="Arial" w:cs="Arial" w:eastAsia="Arial" w:hAnsi="Arial"/>
                <w:sz w:val="20"/>
                <w:szCs w:val="20"/>
                <w:color w:val="auto"/>
              </w:rPr>
              <w:t>$292,006</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140"/>
              <w:spacing w:after="0"/>
              <w:rPr>
                <w:sz w:val="20"/>
                <w:szCs w:val="20"/>
                <w:color w:val="auto"/>
              </w:rPr>
            </w:pPr>
            <w:r>
              <w:rPr>
                <w:rFonts w:ascii="Arial" w:cs="Arial" w:eastAsia="Arial" w:hAnsi="Arial"/>
                <w:sz w:val="20"/>
                <w:szCs w:val="20"/>
                <w:color w:val="auto"/>
              </w:rPr>
              <w:t>Jevin S. Eagle</w:t>
            </w:r>
          </w:p>
        </w:tc>
        <w:tc>
          <w:tcPr>
            <w:tcW w:w="840" w:type="dxa"/>
            <w:vAlign w:val="bottom"/>
            <w:tcBorders>
              <w:right w:val="single" w:sz="8" w:color="123054"/>
            </w:tcBorders>
          </w:tcPr>
          <w:p>
            <w:pPr>
              <w:spacing w:after="0"/>
              <w:rPr>
                <w:sz w:val="23"/>
                <w:szCs w:val="23"/>
                <w:color w:val="auto"/>
              </w:rPr>
            </w:pPr>
          </w:p>
        </w:tc>
        <w:tc>
          <w:tcPr>
            <w:tcW w:w="1700" w:type="dxa"/>
            <w:vAlign w:val="bottom"/>
            <w:tcBorders>
              <w:right w:val="single" w:sz="8" w:color="123054"/>
            </w:tcBorders>
          </w:tcPr>
          <w:p>
            <w:pPr>
              <w:ind w:left="480"/>
              <w:spacing w:after="0"/>
              <w:rPr>
                <w:sz w:val="20"/>
                <w:szCs w:val="20"/>
                <w:color w:val="auto"/>
              </w:rPr>
            </w:pPr>
            <w:r>
              <w:rPr>
                <w:rFonts w:ascii="Arial" w:cs="Arial" w:eastAsia="Arial" w:hAnsi="Arial"/>
                <w:sz w:val="20"/>
                <w:szCs w:val="20"/>
                <w:color w:val="auto"/>
              </w:rPr>
              <w:t>$148,000</w:t>
            </w:r>
          </w:p>
        </w:tc>
        <w:tc>
          <w:tcPr>
            <w:tcW w:w="1760" w:type="dxa"/>
            <w:vAlign w:val="bottom"/>
            <w:tcBorders>
              <w:right w:val="single" w:sz="8" w:color="123054"/>
            </w:tcBorders>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Pr>
          <w:p>
            <w:pPr>
              <w:spacing w:after="0"/>
              <w:rPr>
                <w:sz w:val="23"/>
                <w:szCs w:val="23"/>
                <w:color w:val="auto"/>
              </w:rPr>
            </w:pPr>
          </w:p>
        </w:tc>
        <w:tc>
          <w:tcPr>
            <w:tcW w:w="1320" w:type="dxa"/>
            <w:vAlign w:val="bottom"/>
          </w:tcPr>
          <w:p>
            <w:pPr>
              <w:ind w:left="120"/>
              <w:spacing w:after="0"/>
              <w:rPr>
                <w:sz w:val="20"/>
                <w:szCs w:val="20"/>
                <w:color w:val="auto"/>
              </w:rPr>
            </w:pPr>
            <w:r>
              <w:rPr>
                <w:rFonts w:ascii="Arial" w:cs="Arial" w:eastAsia="Arial" w:hAnsi="Arial"/>
                <w:sz w:val="20"/>
                <w:szCs w:val="20"/>
                <w:color w:val="auto"/>
              </w:rPr>
              <w:t>$308,006</w:t>
            </w:r>
          </w:p>
        </w:tc>
        <w:tc>
          <w:tcPr>
            <w:tcW w:w="20" w:type="dxa"/>
            <w:vAlign w:val="bottom"/>
            <w:shd w:val="clear" w:color="auto" w:fill="123054"/>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260" w:type="dxa"/>
            <w:vAlign w:val="bottom"/>
            <w:shd w:val="clear" w:color="auto" w:fill="DBDBDB"/>
          </w:tcPr>
          <w:p>
            <w:pPr>
              <w:ind w:left="140"/>
              <w:spacing w:after="0"/>
              <w:rPr>
                <w:sz w:val="20"/>
                <w:szCs w:val="20"/>
                <w:color w:val="auto"/>
              </w:rPr>
            </w:pPr>
            <w:r>
              <w:rPr>
                <w:rFonts w:ascii="Arial" w:cs="Arial" w:eastAsia="Arial" w:hAnsi="Arial"/>
                <w:sz w:val="20"/>
                <w:szCs w:val="20"/>
                <w:color w:val="auto"/>
              </w:rPr>
              <w:t>Mark P. Hipp</w:t>
            </w:r>
          </w:p>
        </w:tc>
        <w:tc>
          <w:tcPr>
            <w:tcW w:w="840" w:type="dxa"/>
            <w:vAlign w:val="bottom"/>
            <w:tcBorders>
              <w:right w:val="single" w:sz="8" w:color="123054"/>
            </w:tcBorders>
            <w:shd w:val="clear" w:color="auto" w:fill="DBDBDB"/>
          </w:tcPr>
          <w:p>
            <w:pPr>
              <w:spacing w:after="0"/>
              <w:rPr>
                <w:sz w:val="24"/>
                <w:szCs w:val="24"/>
                <w:color w:val="auto"/>
              </w:rPr>
            </w:pPr>
          </w:p>
        </w:tc>
        <w:tc>
          <w:tcPr>
            <w:tcW w:w="1700" w:type="dxa"/>
            <w:vAlign w:val="bottom"/>
            <w:tcBorders>
              <w:right w:val="single" w:sz="8" w:color="123054"/>
            </w:tcBorders>
            <w:shd w:val="clear" w:color="auto" w:fill="DBDBDB"/>
          </w:tcPr>
          <w:p>
            <w:pPr>
              <w:ind w:left="480"/>
              <w:spacing w:after="0"/>
              <w:rPr>
                <w:sz w:val="20"/>
                <w:szCs w:val="20"/>
                <w:color w:val="auto"/>
              </w:rPr>
            </w:pPr>
            <w:r>
              <w:rPr>
                <w:rFonts w:ascii="Arial" w:cs="Arial" w:eastAsia="Arial" w:hAnsi="Arial"/>
                <w:sz w:val="20"/>
                <w:szCs w:val="20"/>
                <w:color w:val="auto"/>
              </w:rPr>
              <w:t>$133,000</w:t>
            </w:r>
          </w:p>
        </w:tc>
        <w:tc>
          <w:tcPr>
            <w:tcW w:w="1760" w:type="dxa"/>
            <w:vAlign w:val="bottom"/>
            <w:tcBorders>
              <w:right w:val="single" w:sz="8" w:color="123054"/>
            </w:tcBorders>
            <w:shd w:val="clear" w:color="auto" w:fill="DBDBDB"/>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shd w:val="clear" w:color="auto" w:fill="DBDBDB"/>
          </w:tcPr>
          <w:p>
            <w:pPr>
              <w:spacing w:after="0"/>
              <w:rPr>
                <w:sz w:val="24"/>
                <w:szCs w:val="24"/>
                <w:color w:val="auto"/>
              </w:rPr>
            </w:pPr>
          </w:p>
        </w:tc>
        <w:tc>
          <w:tcPr>
            <w:tcW w:w="1320" w:type="dxa"/>
            <w:vAlign w:val="bottom"/>
            <w:shd w:val="clear" w:color="auto" w:fill="DBDBDB"/>
          </w:tcPr>
          <w:p>
            <w:pPr>
              <w:ind w:left="120"/>
              <w:spacing w:after="0"/>
              <w:rPr>
                <w:sz w:val="20"/>
                <w:szCs w:val="20"/>
                <w:color w:val="auto"/>
              </w:rPr>
            </w:pPr>
            <w:r>
              <w:rPr>
                <w:rFonts w:ascii="Arial" w:cs="Arial" w:eastAsia="Arial" w:hAnsi="Arial"/>
                <w:sz w:val="20"/>
                <w:szCs w:val="20"/>
                <w:color w:val="auto"/>
              </w:rPr>
              <w:t>$293,006</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140"/>
              <w:spacing w:after="0"/>
              <w:rPr>
                <w:sz w:val="20"/>
                <w:szCs w:val="20"/>
                <w:color w:val="auto"/>
              </w:rPr>
            </w:pPr>
            <w:r>
              <w:rPr>
                <w:rFonts w:ascii="Arial" w:cs="Arial" w:eastAsia="Arial" w:hAnsi="Arial"/>
                <w:sz w:val="20"/>
                <w:szCs w:val="20"/>
                <w:color w:val="auto"/>
              </w:rPr>
              <w:t>William J. Montgoris</w:t>
            </w:r>
          </w:p>
        </w:tc>
        <w:tc>
          <w:tcPr>
            <w:tcW w:w="840" w:type="dxa"/>
            <w:vAlign w:val="bottom"/>
            <w:tcBorders>
              <w:right w:val="single" w:sz="8" w:color="123054"/>
            </w:tcBorders>
          </w:tcPr>
          <w:p>
            <w:pPr>
              <w:spacing w:after="0"/>
              <w:rPr>
                <w:sz w:val="23"/>
                <w:szCs w:val="23"/>
                <w:color w:val="auto"/>
              </w:rPr>
            </w:pPr>
          </w:p>
        </w:tc>
        <w:tc>
          <w:tcPr>
            <w:tcW w:w="1700" w:type="dxa"/>
            <w:vAlign w:val="bottom"/>
            <w:tcBorders>
              <w:right w:val="single" w:sz="8" w:color="123054"/>
            </w:tcBorders>
          </w:tcPr>
          <w:p>
            <w:pPr>
              <w:ind w:left="480"/>
              <w:spacing w:after="0"/>
              <w:rPr>
                <w:sz w:val="20"/>
                <w:szCs w:val="20"/>
                <w:color w:val="auto"/>
              </w:rPr>
            </w:pPr>
            <w:r>
              <w:rPr>
                <w:rFonts w:ascii="Arial" w:cs="Arial" w:eastAsia="Arial" w:hAnsi="Arial"/>
                <w:sz w:val="20"/>
                <w:szCs w:val="20"/>
                <w:color w:val="auto"/>
              </w:rPr>
              <w:t>$191,000</w:t>
            </w:r>
          </w:p>
        </w:tc>
        <w:tc>
          <w:tcPr>
            <w:tcW w:w="1760" w:type="dxa"/>
            <w:vAlign w:val="bottom"/>
            <w:tcBorders>
              <w:right w:val="single" w:sz="8" w:color="123054"/>
            </w:tcBorders>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Pr>
          <w:p>
            <w:pPr>
              <w:spacing w:after="0"/>
              <w:rPr>
                <w:sz w:val="23"/>
                <w:szCs w:val="23"/>
                <w:color w:val="auto"/>
              </w:rPr>
            </w:pPr>
          </w:p>
        </w:tc>
        <w:tc>
          <w:tcPr>
            <w:tcW w:w="1320" w:type="dxa"/>
            <w:vAlign w:val="bottom"/>
          </w:tcPr>
          <w:p>
            <w:pPr>
              <w:ind w:left="120"/>
              <w:spacing w:after="0"/>
              <w:rPr>
                <w:sz w:val="20"/>
                <w:szCs w:val="20"/>
                <w:color w:val="auto"/>
              </w:rPr>
            </w:pPr>
            <w:r>
              <w:rPr>
                <w:rFonts w:ascii="Arial" w:cs="Arial" w:eastAsia="Arial" w:hAnsi="Arial"/>
                <w:sz w:val="20"/>
                <w:szCs w:val="20"/>
                <w:color w:val="auto"/>
              </w:rPr>
              <w:t>$351,006</w:t>
            </w:r>
          </w:p>
        </w:tc>
        <w:tc>
          <w:tcPr>
            <w:tcW w:w="20" w:type="dxa"/>
            <w:vAlign w:val="bottom"/>
            <w:shd w:val="clear" w:color="auto" w:fill="123054"/>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260" w:type="dxa"/>
            <w:vAlign w:val="bottom"/>
            <w:shd w:val="clear" w:color="auto" w:fill="DBDBDB"/>
          </w:tcPr>
          <w:p>
            <w:pPr>
              <w:ind w:left="140"/>
              <w:spacing w:after="0"/>
              <w:rPr>
                <w:sz w:val="20"/>
                <w:szCs w:val="20"/>
                <w:color w:val="auto"/>
              </w:rPr>
            </w:pPr>
            <w:r>
              <w:rPr>
                <w:rFonts w:ascii="Arial" w:cs="Arial" w:eastAsia="Arial" w:hAnsi="Arial"/>
                <w:sz w:val="20"/>
                <w:szCs w:val="20"/>
                <w:color w:val="auto"/>
              </w:rPr>
              <w:t>Stacey S. Rauch</w:t>
            </w:r>
          </w:p>
        </w:tc>
        <w:tc>
          <w:tcPr>
            <w:tcW w:w="840" w:type="dxa"/>
            <w:vAlign w:val="bottom"/>
            <w:tcBorders>
              <w:right w:val="single" w:sz="8" w:color="123054"/>
            </w:tcBorders>
            <w:shd w:val="clear" w:color="auto" w:fill="DBDBDB"/>
          </w:tcPr>
          <w:p>
            <w:pPr>
              <w:spacing w:after="0"/>
              <w:rPr>
                <w:sz w:val="24"/>
                <w:szCs w:val="24"/>
                <w:color w:val="auto"/>
              </w:rPr>
            </w:pPr>
          </w:p>
        </w:tc>
        <w:tc>
          <w:tcPr>
            <w:tcW w:w="1700" w:type="dxa"/>
            <w:vAlign w:val="bottom"/>
            <w:tcBorders>
              <w:right w:val="single" w:sz="8" w:color="123054"/>
            </w:tcBorders>
            <w:shd w:val="clear" w:color="auto" w:fill="DBDBDB"/>
          </w:tcPr>
          <w:p>
            <w:pPr>
              <w:ind w:left="480"/>
              <w:spacing w:after="0"/>
              <w:rPr>
                <w:sz w:val="20"/>
                <w:szCs w:val="20"/>
                <w:color w:val="auto"/>
              </w:rPr>
            </w:pPr>
            <w:r>
              <w:rPr>
                <w:rFonts w:ascii="Arial" w:cs="Arial" w:eastAsia="Arial" w:hAnsi="Arial"/>
                <w:sz w:val="20"/>
                <w:szCs w:val="20"/>
                <w:color w:val="auto"/>
              </w:rPr>
              <w:t>$135,000</w:t>
            </w:r>
          </w:p>
        </w:tc>
        <w:tc>
          <w:tcPr>
            <w:tcW w:w="1760" w:type="dxa"/>
            <w:vAlign w:val="bottom"/>
            <w:tcBorders>
              <w:right w:val="single" w:sz="8" w:color="123054"/>
            </w:tcBorders>
            <w:shd w:val="clear" w:color="auto" w:fill="DBDBDB"/>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shd w:val="clear" w:color="auto" w:fill="DBDBDB"/>
          </w:tcPr>
          <w:p>
            <w:pPr>
              <w:spacing w:after="0"/>
              <w:rPr>
                <w:sz w:val="24"/>
                <w:szCs w:val="24"/>
                <w:color w:val="auto"/>
              </w:rPr>
            </w:pPr>
          </w:p>
        </w:tc>
        <w:tc>
          <w:tcPr>
            <w:tcW w:w="1320" w:type="dxa"/>
            <w:vAlign w:val="bottom"/>
            <w:shd w:val="clear" w:color="auto" w:fill="DBDBDB"/>
          </w:tcPr>
          <w:p>
            <w:pPr>
              <w:ind w:left="120"/>
              <w:spacing w:after="0"/>
              <w:rPr>
                <w:sz w:val="20"/>
                <w:szCs w:val="20"/>
                <w:color w:val="auto"/>
              </w:rPr>
            </w:pPr>
            <w:r>
              <w:rPr>
                <w:rFonts w:ascii="Arial" w:cs="Arial" w:eastAsia="Arial" w:hAnsi="Arial"/>
                <w:sz w:val="20"/>
                <w:szCs w:val="20"/>
                <w:color w:val="auto"/>
              </w:rPr>
              <w:t>$295,006</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140"/>
              <w:spacing w:after="0"/>
              <w:rPr>
                <w:sz w:val="20"/>
                <w:szCs w:val="20"/>
                <w:color w:val="auto"/>
              </w:rPr>
            </w:pPr>
            <w:r>
              <w:rPr>
                <w:rFonts w:ascii="Arial" w:cs="Arial" w:eastAsia="Arial" w:hAnsi="Arial"/>
                <w:sz w:val="20"/>
                <w:szCs w:val="20"/>
                <w:color w:val="auto"/>
              </w:rPr>
              <w:t>Gretchen W. Schar</w:t>
            </w:r>
          </w:p>
        </w:tc>
        <w:tc>
          <w:tcPr>
            <w:tcW w:w="840" w:type="dxa"/>
            <w:vAlign w:val="bottom"/>
            <w:tcBorders>
              <w:right w:val="single" w:sz="8" w:color="123054"/>
            </w:tcBorders>
          </w:tcPr>
          <w:p>
            <w:pPr>
              <w:spacing w:after="0"/>
              <w:rPr>
                <w:sz w:val="23"/>
                <w:szCs w:val="23"/>
                <w:color w:val="auto"/>
              </w:rPr>
            </w:pPr>
          </w:p>
        </w:tc>
        <w:tc>
          <w:tcPr>
            <w:tcW w:w="1700" w:type="dxa"/>
            <w:vAlign w:val="bottom"/>
            <w:tcBorders>
              <w:right w:val="single" w:sz="8" w:color="123054"/>
            </w:tcBorders>
          </w:tcPr>
          <w:p>
            <w:pPr>
              <w:ind w:left="480"/>
              <w:spacing w:after="0"/>
              <w:rPr>
                <w:sz w:val="20"/>
                <w:szCs w:val="20"/>
                <w:color w:val="auto"/>
              </w:rPr>
            </w:pPr>
            <w:r>
              <w:rPr>
                <w:rFonts w:ascii="Arial" w:cs="Arial" w:eastAsia="Arial" w:hAnsi="Arial"/>
                <w:sz w:val="20"/>
                <w:szCs w:val="20"/>
                <w:color w:val="auto"/>
              </w:rPr>
              <w:t>$158,000</w:t>
            </w:r>
          </w:p>
        </w:tc>
        <w:tc>
          <w:tcPr>
            <w:tcW w:w="1760" w:type="dxa"/>
            <w:vAlign w:val="bottom"/>
            <w:tcBorders>
              <w:right w:val="single" w:sz="8" w:color="123054"/>
            </w:tcBorders>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Pr>
          <w:p>
            <w:pPr>
              <w:spacing w:after="0"/>
              <w:rPr>
                <w:sz w:val="23"/>
                <w:szCs w:val="23"/>
                <w:color w:val="auto"/>
              </w:rPr>
            </w:pPr>
          </w:p>
        </w:tc>
        <w:tc>
          <w:tcPr>
            <w:tcW w:w="1320" w:type="dxa"/>
            <w:vAlign w:val="bottom"/>
          </w:tcPr>
          <w:p>
            <w:pPr>
              <w:ind w:left="120"/>
              <w:spacing w:after="0"/>
              <w:rPr>
                <w:sz w:val="20"/>
                <w:szCs w:val="20"/>
                <w:color w:val="auto"/>
              </w:rPr>
            </w:pPr>
            <w:r>
              <w:rPr>
                <w:rFonts w:ascii="Arial" w:cs="Arial" w:eastAsia="Arial" w:hAnsi="Arial"/>
                <w:sz w:val="20"/>
                <w:szCs w:val="20"/>
                <w:color w:val="auto"/>
              </w:rPr>
              <w:t>$318,006</w:t>
            </w:r>
          </w:p>
        </w:tc>
        <w:tc>
          <w:tcPr>
            <w:tcW w:w="20" w:type="dxa"/>
            <w:vAlign w:val="bottom"/>
            <w:shd w:val="clear" w:color="auto" w:fill="123054"/>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260" w:type="dxa"/>
            <w:vAlign w:val="bottom"/>
            <w:tcBorders>
              <w:bottom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Stephanie P. Stahl</w:t>
            </w:r>
          </w:p>
        </w:tc>
        <w:tc>
          <w:tcPr>
            <w:tcW w:w="840" w:type="dxa"/>
            <w:vAlign w:val="bottom"/>
            <w:tcBorders>
              <w:bottom w:val="single" w:sz="8" w:color="123054"/>
              <w:right w:val="single" w:sz="8" w:color="123054"/>
            </w:tcBorders>
            <w:shd w:val="clear" w:color="auto" w:fill="DBDBDB"/>
          </w:tcPr>
          <w:p>
            <w:pPr>
              <w:spacing w:after="0"/>
              <w:rPr>
                <w:sz w:val="24"/>
                <w:szCs w:val="24"/>
                <w:color w:val="auto"/>
              </w:rPr>
            </w:pPr>
          </w:p>
        </w:tc>
        <w:tc>
          <w:tcPr>
            <w:tcW w:w="1700" w:type="dxa"/>
            <w:vAlign w:val="bottom"/>
            <w:tcBorders>
              <w:bottom w:val="single" w:sz="8" w:color="123054"/>
              <w:right w:val="single" w:sz="8" w:color="123054"/>
            </w:tcBorders>
            <w:shd w:val="clear" w:color="auto" w:fill="DBDBDB"/>
          </w:tcPr>
          <w:p>
            <w:pPr>
              <w:ind w:left="480"/>
              <w:spacing w:after="0"/>
              <w:rPr>
                <w:sz w:val="20"/>
                <w:szCs w:val="20"/>
                <w:color w:val="auto"/>
              </w:rPr>
            </w:pPr>
            <w:r>
              <w:rPr>
                <w:rFonts w:ascii="Arial" w:cs="Arial" w:eastAsia="Arial" w:hAnsi="Arial"/>
                <w:sz w:val="20"/>
                <w:szCs w:val="20"/>
                <w:color w:val="auto"/>
              </w:rPr>
              <w:t>$167,000</w:t>
            </w:r>
          </w:p>
        </w:tc>
        <w:tc>
          <w:tcPr>
            <w:tcW w:w="1760" w:type="dxa"/>
            <w:vAlign w:val="bottom"/>
            <w:tcBorders>
              <w:bottom w:val="single" w:sz="8" w:color="123054"/>
              <w:right w:val="single" w:sz="8" w:color="123054"/>
            </w:tcBorders>
            <w:shd w:val="clear" w:color="auto" w:fill="DBDBDB"/>
          </w:tcPr>
          <w:p>
            <w:pPr>
              <w:ind w:left="520"/>
              <w:spacing w:after="0"/>
              <w:rPr>
                <w:sz w:val="20"/>
                <w:szCs w:val="20"/>
                <w:color w:val="auto"/>
              </w:rPr>
            </w:pPr>
            <w:r>
              <w:rPr>
                <w:rFonts w:ascii="Arial" w:cs="Arial" w:eastAsia="Arial" w:hAnsi="Arial"/>
                <w:sz w:val="20"/>
                <w:szCs w:val="20"/>
                <w:color w:val="auto"/>
              </w:rPr>
              <w:t>$160,006</w:t>
            </w:r>
          </w:p>
        </w:tc>
        <w:tc>
          <w:tcPr>
            <w:tcW w:w="340" w:type="dxa"/>
            <w:vAlign w:val="bottom"/>
            <w:tcBorders>
              <w:bottom w:val="single" w:sz="8" w:color="123054"/>
            </w:tcBorders>
            <w:shd w:val="clear" w:color="auto" w:fill="DBDBDB"/>
          </w:tcPr>
          <w:p>
            <w:pPr>
              <w:spacing w:after="0"/>
              <w:rPr>
                <w:sz w:val="24"/>
                <w:szCs w:val="24"/>
                <w:color w:val="auto"/>
              </w:rPr>
            </w:pPr>
          </w:p>
        </w:tc>
        <w:tc>
          <w:tcPr>
            <w:tcW w:w="1320" w:type="dxa"/>
            <w:vAlign w:val="bottom"/>
            <w:tcBorders>
              <w:bottom w:val="single" w:sz="8" w:color="123054"/>
            </w:tcBorders>
            <w:shd w:val="clear" w:color="auto" w:fill="DBDBDB"/>
          </w:tcPr>
          <w:p>
            <w:pPr>
              <w:ind w:left="120"/>
              <w:spacing w:after="0"/>
              <w:rPr>
                <w:sz w:val="20"/>
                <w:szCs w:val="20"/>
                <w:color w:val="auto"/>
              </w:rPr>
            </w:pPr>
            <w:r>
              <w:rPr>
                <w:rFonts w:ascii="Arial" w:cs="Arial" w:eastAsia="Arial" w:hAnsi="Arial"/>
                <w:sz w:val="20"/>
                <w:szCs w:val="20"/>
                <w:color w:val="auto"/>
              </w:rPr>
              <w:t>$327,006</w:t>
            </w:r>
          </w:p>
        </w:tc>
        <w:tc>
          <w:tcPr>
            <w:tcW w:w="20" w:type="dxa"/>
            <w:vAlign w:val="bottom"/>
            <w:tcBorders>
              <w:bottom w:val="single" w:sz="8" w:color="123054"/>
            </w:tcBorders>
            <w:shd w:val="clear" w:color="auto" w:fill="123054"/>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20" w:right="420" w:hanging="387"/>
        <w:spacing w:after="0" w:line="231" w:lineRule="auto"/>
        <w:tabs>
          <w:tab w:leader="none" w:pos="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a NEO and former management director, Mr. Casey’s compensation information is omitted from this table and presented in the Summary Compensation Table on page53.</w:t>
      </w:r>
    </w:p>
    <w:p>
      <w:pPr>
        <w:spacing w:after="0" w:line="1" w:lineRule="exact"/>
        <w:rPr>
          <w:rFonts w:ascii="Arial" w:cs="Arial" w:eastAsia="Arial" w:hAnsi="Arial"/>
          <w:sz w:val="14"/>
          <w:szCs w:val="14"/>
          <w:color w:val="auto"/>
        </w:rPr>
      </w:pPr>
    </w:p>
    <w:p>
      <w:pPr>
        <w:ind w:left="620" w:hanging="387"/>
        <w:spacing w:after="0" w:line="201" w:lineRule="auto"/>
        <w:tabs>
          <w:tab w:leader="none" w:pos="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This column reports the amount of cash compensation earned in fiscal2024 through annual cash retainers and meeting fees.</w:t>
      </w:r>
    </w:p>
    <w:p>
      <w:pPr>
        <w:ind w:left="620" w:right="440" w:hanging="387"/>
        <w:spacing w:after="0" w:line="244" w:lineRule="auto"/>
        <w:tabs>
          <w:tab w:leader="none" w:pos="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May 16, 2024, we issued2,293 fully vested shares of common stock to each non-management director who was a member of the Board on that date with a grant date fair value $of69.78per share, computed in accordance with FASB ASC Topic 718.</w:t>
      </w:r>
    </w:p>
    <w:p>
      <w:pPr>
        <w:spacing w:after="0" w:line="105" w:lineRule="exact"/>
        <w:rPr>
          <w:sz w:val="20"/>
          <w:szCs w:val="20"/>
          <w:color w:val="auto"/>
        </w:rPr>
      </w:pPr>
    </w:p>
    <w:p>
      <w:pPr>
        <w:ind w:left="140" w:right="380"/>
        <w:spacing w:after="0" w:line="248" w:lineRule="auto"/>
        <w:rPr>
          <w:sz w:val="20"/>
          <w:szCs w:val="20"/>
          <w:color w:val="auto"/>
        </w:rPr>
      </w:pPr>
      <w:r>
        <w:rPr>
          <w:rFonts w:ascii="Arial" w:cs="Arial" w:eastAsia="Arial" w:hAnsi="Arial"/>
          <w:sz w:val="20"/>
          <w:szCs w:val="20"/>
          <w:color w:val="auto"/>
        </w:rPr>
        <w:t>For complete beneficial ownership information of our common stock for each director, see the information presented below the heading “Securities Ownership of Beneficial Owners, Directors, and Executive Officers” on page 70.</w:t>
      </w:r>
    </w:p>
    <w:p>
      <w:pPr>
        <w:spacing w:after="0" w:line="165" w:lineRule="exact"/>
        <w:rPr>
          <w:sz w:val="20"/>
          <w:szCs w:val="20"/>
          <w:color w:val="auto"/>
        </w:rPr>
      </w:pPr>
    </w:p>
    <w:p>
      <w:pPr>
        <w:ind w:left="140" w:right="260"/>
        <w:spacing w:after="0" w:line="267" w:lineRule="auto"/>
        <w:rPr>
          <w:sz w:val="20"/>
          <w:szCs w:val="20"/>
          <w:color w:val="auto"/>
        </w:rPr>
      </w:pPr>
      <w:r>
        <w:rPr>
          <w:rFonts w:ascii="Arial" w:cs="Arial" w:eastAsia="Arial" w:hAnsi="Arial"/>
          <w:sz w:val="19"/>
          <w:szCs w:val="19"/>
          <w:color w:val="auto"/>
        </w:rPr>
        <w:t>In November 2020, the Board approved a deferred compensation program for non-management directors, under which, beginning in 2021, directors may opt to defer cash retainer payments and stock grants in the form of deferred stock units until the fifth anniversary of the grant date or until the director leaves the Board. No directors deferred their cash retainer and/or stock grants for fiscal 2024.</w:t>
      </w:r>
    </w:p>
    <w:p>
      <w:pPr>
        <w:spacing w:after="0" w:line="148" w:lineRule="exact"/>
        <w:rPr>
          <w:sz w:val="20"/>
          <w:szCs w:val="20"/>
          <w:color w:val="auto"/>
        </w:rPr>
      </w:pPr>
    </w:p>
    <w:p>
      <w:pPr>
        <w:ind w:left="140"/>
        <w:spacing w:after="0" w:line="245" w:lineRule="auto"/>
        <w:rPr>
          <w:sz w:val="20"/>
          <w:szCs w:val="20"/>
          <w:color w:val="auto"/>
        </w:rPr>
      </w:pPr>
      <w:r>
        <w:rPr>
          <w:rFonts w:ascii="Arial" w:cs="Arial" w:eastAsia="Arial" w:hAnsi="Arial"/>
          <w:sz w:val="20"/>
          <w:szCs w:val="20"/>
          <w:color w:val="auto"/>
        </w:rPr>
        <w:t>Under Carter’s minimum ownership guidelines, no director may sell Carter's stock unless he or she owns shares of Carter's stock with a total market value in excess of five times his or her annual cash retainer, or $450,000, by the end of his or her sixth year of service on the Board. Each of our directors complied with these ownership guidelines in fiscal2024.</w:t>
      </w:r>
    </w:p>
    <w:p>
      <w:pPr>
        <w:spacing w:after="0" w:line="168" w:lineRule="exact"/>
        <w:rPr>
          <w:sz w:val="20"/>
          <w:szCs w:val="20"/>
          <w:color w:val="auto"/>
        </w:rPr>
      </w:pPr>
    </w:p>
    <w:p>
      <w:pPr>
        <w:ind w:left="140" w:right="280"/>
        <w:spacing w:after="0" w:line="257" w:lineRule="auto"/>
        <w:rPr>
          <w:sz w:val="20"/>
          <w:szCs w:val="20"/>
          <w:color w:val="auto"/>
        </w:rPr>
      </w:pPr>
      <w:r>
        <w:rPr>
          <w:rFonts w:ascii="Arial" w:cs="Arial" w:eastAsia="Arial" w:hAnsi="Arial"/>
          <w:sz w:val="20"/>
          <w:szCs w:val="20"/>
          <w:color w:val="auto"/>
        </w:rPr>
        <w:t>There are no family relationships among any of the directors or our executive officers and none of our non-management directors performed any services for Carter's other than services as directors.</w:t>
      </w:r>
    </w:p>
    <w:p>
      <w:pPr>
        <w:sectPr>
          <w:pgSz w:w="11900" w:h="16838" w:orient="portrait"/>
          <w:cols w:equalWidth="0" w:num="1">
            <w:col w:w="9280"/>
          </w:cols>
          <w:pgMar w:left="1440" w:top="104" w:right="1179" w:bottom="1137" w:gutter="0" w:footer="0" w:header="0"/>
        </w:sectPr>
      </w:pPr>
    </w:p>
    <w:bookmarkStart w:id="27" w:name="page28"/>
    <w:bookmarkEnd w:id="2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527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152781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19"/>
          </w:cols>
          <w:pgMar w:left="1440" w:top="1440" w:right="144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right="619"/>
        <w:spacing w:after="0" w:line="249" w:lineRule="auto"/>
        <w:rPr>
          <w:sz w:val="20"/>
          <w:szCs w:val="20"/>
          <w:color w:val="auto"/>
        </w:rPr>
      </w:pPr>
      <w:r>
        <w:rPr>
          <w:rFonts w:ascii="Arial" w:cs="Arial" w:eastAsia="Arial" w:hAnsi="Arial"/>
          <w:sz w:val="29"/>
          <w:szCs w:val="29"/>
          <w:b w:val="1"/>
          <w:bCs w:val="1"/>
          <w:color w:val="123054"/>
        </w:rPr>
        <w:t>EXECUTIVE OFFICERS’ BIOGRAPHICAL INFORMATION AND EXPERIENCE</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840" w:type="dxa"/>
            <w:vAlign w:val="bottom"/>
            <w:tcBorders>
              <w:top w:val="single" w:sz="8" w:color="123054"/>
              <w:right w:val="single" w:sz="8" w:color="123054"/>
            </w:tcBorders>
          </w:tcPr>
          <w:p>
            <w:pPr>
              <w:spacing w:after="0"/>
              <w:rPr>
                <w:sz w:val="20"/>
                <w:szCs w:val="20"/>
                <w:color w:val="auto"/>
              </w:rPr>
            </w:pPr>
          </w:p>
        </w:tc>
        <w:tc>
          <w:tcPr>
            <w:tcW w:w="5760" w:type="dxa"/>
            <w:vAlign w:val="bottom"/>
            <w:tcBorders>
              <w:top w:val="single" w:sz="8" w:color="123054"/>
            </w:tcBorders>
          </w:tcPr>
          <w:p>
            <w:pPr>
              <w:ind w:left="100"/>
              <w:spacing w:after="0"/>
              <w:rPr>
                <w:sz w:val="20"/>
                <w:szCs w:val="20"/>
                <w:color w:val="auto"/>
              </w:rPr>
            </w:pPr>
            <w:r>
              <w:rPr>
                <w:rFonts w:ascii="Arial" w:cs="Arial" w:eastAsia="Arial" w:hAnsi="Arial"/>
                <w:sz w:val="20"/>
                <w:szCs w:val="20"/>
                <w:b w:val="1"/>
                <w:bCs w:val="1"/>
                <w:i w:val="1"/>
                <w:iCs w:val="1"/>
                <w:color w:val="auto"/>
              </w:rPr>
              <w:t>Douglas C. Palladini</w:t>
            </w:r>
            <w:r>
              <w:rPr>
                <w:rFonts w:ascii="Arial" w:cs="Arial" w:eastAsia="Arial" w:hAnsi="Arial"/>
                <w:sz w:val="20"/>
                <w:szCs w:val="20"/>
                <w:color w:val="auto"/>
              </w:rPr>
              <w:t>joined Carter’s on April 3, 2025 as Chief</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Executive Officer &amp; President and a member of the Board. Mr.</w:t>
            </w:r>
          </w:p>
        </w:tc>
        <w:tc>
          <w:tcPr>
            <w:tcW w:w="0" w:type="dxa"/>
            <w:vAlign w:val="bottom"/>
          </w:tcPr>
          <w:p>
            <w:pPr>
              <w:spacing w:after="0"/>
              <w:rPr>
                <w:sz w:val="1"/>
                <w:szCs w:val="1"/>
                <w:color w:val="auto"/>
              </w:rPr>
            </w:pPr>
          </w:p>
        </w:tc>
      </w:tr>
      <w:tr>
        <w:trPr>
          <w:trHeight w:val="229"/>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Palladini served as the founder and owner of Kickstand, LLC, a</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tcPr>
          <w:p>
            <w:pPr>
              <w:spacing w:after="0"/>
              <w:rPr>
                <w:sz w:val="18"/>
                <w:szCs w:val="18"/>
                <w:color w:val="auto"/>
              </w:rPr>
            </w:pPr>
          </w:p>
        </w:tc>
        <w:tc>
          <w:tcPr>
            <w:tcW w:w="600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consulting and advisory business focused on brand and consumer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strategy, from April 2022 until March 2025. Prior to founding</w:t>
            </w:r>
          </w:p>
        </w:tc>
        <w:tc>
          <w:tcPr>
            <w:tcW w:w="0" w:type="dxa"/>
            <w:vAlign w:val="bottom"/>
          </w:tcPr>
          <w:p>
            <w:pPr>
              <w:spacing w:after="0"/>
              <w:rPr>
                <w:sz w:val="1"/>
                <w:szCs w:val="1"/>
                <w:color w:val="auto"/>
              </w:rPr>
            </w:pPr>
          </w:p>
        </w:tc>
      </w:tr>
      <w:tr>
        <w:trPr>
          <w:trHeight w:val="229"/>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Kickstand, LLC, from June 2004 to March 2022, Mr. Palladini</w:t>
            </w:r>
          </w:p>
        </w:tc>
        <w:tc>
          <w:tcPr>
            <w:tcW w:w="0" w:type="dxa"/>
            <w:vAlign w:val="bottom"/>
          </w:tcPr>
          <w:p>
            <w:pPr>
              <w:spacing w:after="0"/>
              <w:rPr>
                <w:sz w:val="1"/>
                <w:szCs w:val="1"/>
                <w:color w:val="auto"/>
              </w:rPr>
            </w:pPr>
          </w:p>
        </w:tc>
      </w:tr>
      <w:tr>
        <w:trPr>
          <w:trHeight w:val="229"/>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served in various roles of increasing responsibility at Vans, a</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tcPr>
          <w:p>
            <w:pPr>
              <w:spacing w:after="0"/>
              <w:rPr>
                <w:sz w:val="18"/>
                <w:szCs w:val="18"/>
                <w:color w:val="auto"/>
              </w:rPr>
            </w:pPr>
          </w:p>
        </w:tc>
        <w:tc>
          <w:tcPr>
            <w:tcW w:w="600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subsidiary of V.F. Corporation, culminating in his role as Global</w:t>
            </w:r>
          </w:p>
        </w:tc>
        <w:tc>
          <w:tcPr>
            <w:tcW w:w="0" w:type="dxa"/>
            <w:vAlign w:val="bottom"/>
          </w:tcPr>
          <w:p>
            <w:pPr>
              <w:spacing w:after="0"/>
              <w:rPr>
                <w:sz w:val="1"/>
                <w:szCs w:val="1"/>
                <w:color w:val="auto"/>
              </w:rPr>
            </w:pPr>
          </w:p>
        </w:tc>
      </w:tr>
      <w:tr>
        <w:trPr>
          <w:trHeight w:val="261"/>
        </w:trPr>
        <w:tc>
          <w:tcPr>
            <w:tcW w:w="2840" w:type="dxa"/>
            <w:vAlign w:val="bottom"/>
            <w:tcBorders>
              <w:right w:val="single" w:sz="8" w:color="123054"/>
            </w:tcBorders>
          </w:tcPr>
          <w:p>
            <w:pPr>
              <w:spacing w:after="0"/>
              <w:rPr>
                <w:sz w:val="22"/>
                <w:szCs w:val="22"/>
                <w:color w:val="auto"/>
              </w:rPr>
            </w:pPr>
          </w:p>
        </w:tc>
        <w:tc>
          <w:tcPr>
            <w:tcW w:w="6000" w:type="dxa"/>
            <w:vAlign w:val="bottom"/>
            <w:gridSpan w:val="2"/>
          </w:tcPr>
          <w:p>
            <w:pPr>
              <w:ind w:left="100"/>
              <w:spacing w:after="0"/>
              <w:rPr>
                <w:sz w:val="20"/>
                <w:szCs w:val="20"/>
                <w:color w:val="auto"/>
              </w:rPr>
            </w:pPr>
            <w:r>
              <w:rPr>
                <w:rFonts w:ascii="Arial" w:cs="Arial" w:eastAsia="Arial" w:hAnsi="Arial"/>
                <w:sz w:val="20"/>
                <w:szCs w:val="20"/>
                <w:color w:val="auto"/>
              </w:rPr>
              <w:t>Brand President of Vans from July 2016 through March 2022.</w:t>
            </w:r>
          </w:p>
        </w:tc>
        <w:tc>
          <w:tcPr>
            <w:tcW w:w="0" w:type="dxa"/>
            <w:vAlign w:val="bottom"/>
          </w:tcPr>
          <w:p>
            <w:pPr>
              <w:spacing w:after="0"/>
              <w:rPr>
                <w:sz w:val="1"/>
                <w:szCs w:val="1"/>
                <w:color w:val="auto"/>
              </w:rPr>
            </w:pPr>
          </w:p>
        </w:tc>
      </w:tr>
      <w:tr>
        <w:trPr>
          <w:trHeight w:val="699"/>
        </w:trPr>
        <w:tc>
          <w:tcPr>
            <w:tcW w:w="2840" w:type="dxa"/>
            <w:vAlign w:val="bottom"/>
            <w:tcBorders>
              <w:right w:val="single" w:sz="8" w:color="123054"/>
            </w:tcBorders>
          </w:tcPr>
          <w:p>
            <w:pPr>
              <w:ind w:left="40"/>
              <w:spacing w:after="0"/>
              <w:rPr>
                <w:sz w:val="20"/>
                <w:szCs w:val="20"/>
                <w:color w:val="auto"/>
              </w:rPr>
            </w:pPr>
            <w:r>
              <w:rPr>
                <w:rFonts w:ascii="Arial" w:cs="Arial" w:eastAsia="Arial" w:hAnsi="Arial"/>
                <w:sz w:val="20"/>
                <w:szCs w:val="20"/>
                <w:b w:val="1"/>
                <w:bCs w:val="1"/>
                <w:color w:val="123054"/>
              </w:rPr>
              <w:t>DOUGLAS C. PALLADINI</w:t>
            </w: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840" w:type="dxa"/>
            <w:vAlign w:val="bottom"/>
            <w:tcBorders>
              <w:right w:val="single" w:sz="8" w:color="123054"/>
            </w:tcBorders>
          </w:tcPr>
          <w:p>
            <w:pPr>
              <w:ind w:left="40"/>
              <w:spacing w:after="0"/>
              <w:rPr>
                <w:sz w:val="20"/>
                <w:szCs w:val="20"/>
                <w:color w:val="auto"/>
              </w:rPr>
            </w:pPr>
            <w:r>
              <w:rPr>
                <w:rFonts w:ascii="Arial" w:cs="Arial" w:eastAsia="Arial" w:hAnsi="Arial"/>
                <w:sz w:val="20"/>
                <w:szCs w:val="20"/>
                <w:i w:val="1"/>
                <w:iCs w:val="1"/>
                <w:color w:val="auto"/>
              </w:rPr>
              <w:t>Chief Executive Officer &amp;</w:t>
            </w: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840" w:type="dxa"/>
            <w:vAlign w:val="bottom"/>
            <w:tcBorders>
              <w:right w:val="single" w:sz="8" w:color="123054"/>
            </w:tcBorders>
          </w:tcPr>
          <w:p>
            <w:pPr>
              <w:ind w:left="40"/>
              <w:spacing w:after="0"/>
              <w:rPr>
                <w:sz w:val="20"/>
                <w:szCs w:val="20"/>
                <w:color w:val="auto"/>
              </w:rPr>
            </w:pPr>
            <w:r>
              <w:rPr>
                <w:rFonts w:ascii="Arial" w:cs="Arial" w:eastAsia="Arial" w:hAnsi="Arial"/>
                <w:sz w:val="20"/>
                <w:szCs w:val="20"/>
                <w:i w:val="1"/>
                <w:iCs w:val="1"/>
                <w:color w:val="auto"/>
              </w:rPr>
              <w:t>President, Director</w:t>
            </w:r>
          </w:p>
        </w:tc>
        <w:tc>
          <w:tcPr>
            <w:tcW w:w="5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2840" w:type="dxa"/>
            <w:vAlign w:val="bottom"/>
            <w:tcBorders>
              <w:bottom w:val="single" w:sz="8" w:color="123054"/>
              <w:right w:val="single" w:sz="8" w:color="123054"/>
            </w:tcBorders>
          </w:tcPr>
          <w:p>
            <w:pPr>
              <w:ind w:left="4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58</w:t>
            </w:r>
          </w:p>
        </w:tc>
        <w:tc>
          <w:tcPr>
            <w:tcW w:w="5760" w:type="dxa"/>
            <w:vAlign w:val="bottom"/>
            <w:tcBorders>
              <w:bottom w:val="single" w:sz="8" w:color="123054"/>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40" w:type="dxa"/>
            <w:vAlign w:val="bottom"/>
          </w:tcPr>
          <w:p>
            <w:pPr>
              <w:spacing w:after="0"/>
              <w:rPr>
                <w:sz w:val="24"/>
                <w:szCs w:val="24"/>
                <w:color w:val="auto"/>
              </w:rPr>
            </w:pPr>
          </w:p>
        </w:tc>
        <w:tc>
          <w:tcPr>
            <w:tcW w:w="6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40" w:type="dxa"/>
            <w:vAlign w:val="bottom"/>
            <w:tcBorders>
              <w:top w:val="single" w:sz="8" w:color="123054"/>
              <w:right w:val="single" w:sz="8" w:color="123054"/>
            </w:tcBorders>
          </w:tcPr>
          <w:p>
            <w:pPr>
              <w:spacing w:after="0"/>
              <w:rPr>
                <w:sz w:val="18"/>
                <w:szCs w:val="18"/>
                <w:color w:val="auto"/>
              </w:rPr>
            </w:pPr>
          </w:p>
        </w:tc>
        <w:tc>
          <w:tcPr>
            <w:tcW w:w="5760" w:type="dxa"/>
            <w:vAlign w:val="bottom"/>
            <w:tcBorders>
              <w:top w:val="single" w:sz="8" w:color="123054"/>
            </w:tcBorders>
          </w:tcPr>
          <w:p>
            <w:pPr>
              <w:ind w:left="120"/>
              <w:spacing w:after="0" w:line="215" w:lineRule="exact"/>
              <w:rPr>
                <w:sz w:val="20"/>
                <w:szCs w:val="20"/>
                <w:color w:val="auto"/>
              </w:rPr>
            </w:pPr>
            <w:r>
              <w:rPr>
                <w:rFonts w:ascii="Arial" w:cs="Arial" w:eastAsia="Arial" w:hAnsi="Arial"/>
                <w:sz w:val="20"/>
                <w:szCs w:val="20"/>
                <w:b w:val="1"/>
                <w:bCs w:val="1"/>
                <w:i w:val="1"/>
                <w:iCs w:val="1"/>
                <w:color w:val="auto"/>
                <w:w w:val="93"/>
              </w:rPr>
              <w:t>Richard F. Westenberger</w:t>
            </w:r>
            <w:r>
              <w:rPr>
                <w:rFonts w:ascii="Arial" w:cs="Arial" w:eastAsia="Arial" w:hAnsi="Arial"/>
                <w:sz w:val="20"/>
                <w:szCs w:val="20"/>
                <w:color w:val="auto"/>
                <w:w w:val="93"/>
              </w:rPr>
              <w:t>joined Carter’s in 2009 as Executive Vice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President &amp; Chief Financial Officer, and was appointed Senior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tcPr>
          <w:p>
            <w:pPr>
              <w:spacing w:after="0"/>
              <w:rPr>
                <w:sz w:val="18"/>
                <w:szCs w:val="18"/>
                <w:color w:val="auto"/>
              </w:rPr>
            </w:pPr>
          </w:p>
        </w:tc>
        <w:tc>
          <w:tcPr>
            <w:tcW w:w="6000" w:type="dxa"/>
            <w:vAlign w:val="bottom"/>
            <w:gridSpan w:val="2"/>
          </w:tcPr>
          <w:p>
            <w:pPr>
              <w:ind w:left="120"/>
              <w:spacing w:after="0" w:line="216" w:lineRule="exact"/>
              <w:rPr>
                <w:sz w:val="20"/>
                <w:szCs w:val="20"/>
                <w:color w:val="auto"/>
              </w:rPr>
            </w:pPr>
            <w:r>
              <w:rPr>
                <w:rFonts w:ascii="Arial" w:cs="Arial" w:eastAsia="Arial" w:hAnsi="Arial"/>
                <w:sz w:val="20"/>
                <w:szCs w:val="20"/>
                <w:color w:val="auto"/>
                <w:w w:val="98"/>
              </w:rPr>
              <w:t>Executive Vice President, Chief Financial Officer &amp; Chief Operating</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Officer in March 2024, and also served as Interim Chief Executive</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Officer from January 2025 to April 2025. Mr. Westenberger’s</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tcPr>
          <w:p>
            <w:pPr>
              <w:spacing w:after="0"/>
              <w:rPr>
                <w:sz w:val="18"/>
                <w:szCs w:val="18"/>
                <w:color w:val="auto"/>
              </w:rPr>
            </w:pPr>
          </w:p>
        </w:tc>
        <w:tc>
          <w:tcPr>
            <w:tcW w:w="600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responsibilities in his role as Senior Executive Vice President,</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Chief Financial Officer &amp; Chief Operating Officer include</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management of Carter’s finance, enterprise risk management,</w:t>
            </w:r>
          </w:p>
        </w:tc>
        <w:tc>
          <w:tcPr>
            <w:tcW w:w="0" w:type="dxa"/>
            <w:vAlign w:val="bottom"/>
          </w:tcPr>
          <w:p>
            <w:pPr>
              <w:spacing w:after="0"/>
              <w:rPr>
                <w:sz w:val="1"/>
                <w:szCs w:val="1"/>
                <w:color w:val="auto"/>
              </w:rPr>
            </w:pPr>
          </w:p>
        </w:tc>
      </w:tr>
      <w:tr>
        <w:trPr>
          <w:trHeight w:val="229"/>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supply chain, and real estate functions. Prior to joining Carter’s,</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tcPr>
          <w:p>
            <w:pPr>
              <w:spacing w:after="0"/>
              <w:rPr>
                <w:sz w:val="18"/>
                <w:szCs w:val="18"/>
                <w:color w:val="auto"/>
              </w:rPr>
            </w:pPr>
          </w:p>
        </w:tc>
        <w:tc>
          <w:tcPr>
            <w:tcW w:w="600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Mr. Westenberger served as Vice President of Corporate Finance</w:t>
            </w:r>
          </w:p>
        </w:tc>
        <w:tc>
          <w:tcPr>
            <w:tcW w:w="0" w:type="dxa"/>
            <w:vAlign w:val="bottom"/>
          </w:tcPr>
          <w:p>
            <w:pPr>
              <w:spacing w:after="0"/>
              <w:rPr>
                <w:sz w:val="1"/>
                <w:szCs w:val="1"/>
                <w:color w:val="auto"/>
              </w:rPr>
            </w:pPr>
          </w:p>
        </w:tc>
      </w:tr>
      <w:tr>
        <w:trPr>
          <w:trHeight w:val="229"/>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and Treasurer of Hewitt Associates, Inc. from 2006 to 2008. From</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vMerge w:val="restart"/>
          </w:tcPr>
          <w:p>
            <w:pPr>
              <w:ind w:left="40"/>
              <w:spacing w:after="0"/>
              <w:rPr>
                <w:sz w:val="20"/>
                <w:szCs w:val="20"/>
                <w:color w:val="auto"/>
              </w:rPr>
            </w:pPr>
            <w:r>
              <w:rPr>
                <w:rFonts w:ascii="Arial" w:cs="Arial" w:eastAsia="Arial" w:hAnsi="Arial"/>
                <w:sz w:val="20"/>
                <w:szCs w:val="20"/>
                <w:b w:val="1"/>
                <w:bCs w:val="1"/>
                <w:color w:val="123054"/>
                <w:w w:val="94"/>
              </w:rPr>
              <w:t>RICHARD F. WESTENBERGER</w:t>
            </w: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1996 to 2006, Mr. Westenberger held various senior financial</w:t>
            </w:r>
          </w:p>
        </w:tc>
        <w:tc>
          <w:tcPr>
            <w:tcW w:w="0" w:type="dxa"/>
            <w:vAlign w:val="bottom"/>
          </w:tcPr>
          <w:p>
            <w:pPr>
              <w:spacing w:after="0"/>
              <w:rPr>
                <w:sz w:val="1"/>
                <w:szCs w:val="1"/>
                <w:color w:val="auto"/>
              </w:rPr>
            </w:pPr>
          </w:p>
        </w:tc>
      </w:tr>
      <w:tr>
        <w:trPr>
          <w:trHeight w:val="216"/>
        </w:trPr>
        <w:tc>
          <w:tcPr>
            <w:tcW w:w="2840" w:type="dxa"/>
            <w:vAlign w:val="bottom"/>
            <w:tcBorders>
              <w:right w:val="single" w:sz="8" w:color="123054"/>
            </w:tcBorders>
            <w:vMerge w:val="continue"/>
          </w:tcPr>
          <w:p>
            <w:pPr>
              <w:spacing w:after="0"/>
              <w:rPr>
                <w:sz w:val="18"/>
                <w:szCs w:val="18"/>
                <w:color w:val="auto"/>
              </w:rPr>
            </w:pPr>
          </w:p>
        </w:tc>
        <w:tc>
          <w:tcPr>
            <w:tcW w:w="600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management positions at Sears Holdings Corporation and its</w:t>
            </w:r>
          </w:p>
        </w:tc>
        <w:tc>
          <w:tcPr>
            <w:tcW w:w="0" w:type="dxa"/>
            <w:vAlign w:val="bottom"/>
          </w:tcPr>
          <w:p>
            <w:pPr>
              <w:spacing w:after="0"/>
              <w:rPr>
                <w:sz w:val="1"/>
                <w:szCs w:val="1"/>
                <w:color w:val="auto"/>
              </w:rPr>
            </w:pPr>
          </w:p>
        </w:tc>
      </w:tr>
      <w:tr>
        <w:trPr>
          <w:trHeight w:val="305"/>
        </w:trPr>
        <w:tc>
          <w:tcPr>
            <w:tcW w:w="2840" w:type="dxa"/>
            <w:vAlign w:val="bottom"/>
            <w:tcBorders>
              <w:right w:val="single" w:sz="8" w:color="123054"/>
            </w:tcBorders>
          </w:tcPr>
          <w:p>
            <w:pPr>
              <w:ind w:left="40"/>
              <w:spacing w:after="0"/>
              <w:rPr>
                <w:sz w:val="20"/>
                <w:szCs w:val="20"/>
                <w:color w:val="auto"/>
              </w:rPr>
            </w:pPr>
            <w:r>
              <w:rPr>
                <w:rFonts w:ascii="Arial" w:cs="Arial" w:eastAsia="Arial" w:hAnsi="Arial"/>
                <w:sz w:val="20"/>
                <w:szCs w:val="20"/>
                <w:i w:val="1"/>
                <w:iCs w:val="1"/>
                <w:color w:val="auto"/>
                <w:w w:val="95"/>
              </w:rPr>
              <w:t>Senior Executive Vice President,</w:t>
            </w: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predecessor organization, Sears, Roebuck and Co. (collectively,</w:t>
            </w:r>
          </w:p>
        </w:tc>
        <w:tc>
          <w:tcPr>
            <w:tcW w:w="0" w:type="dxa"/>
            <w:vAlign w:val="bottom"/>
          </w:tcPr>
          <w:p>
            <w:pPr>
              <w:spacing w:after="0"/>
              <w:rPr>
                <w:sz w:val="1"/>
                <w:szCs w:val="1"/>
                <w:color w:val="auto"/>
              </w:rPr>
            </w:pPr>
          </w:p>
        </w:tc>
      </w:tr>
      <w:tr>
        <w:trPr>
          <w:trHeight w:val="154"/>
        </w:trPr>
        <w:tc>
          <w:tcPr>
            <w:tcW w:w="2840" w:type="dxa"/>
            <w:vAlign w:val="bottom"/>
            <w:tcBorders>
              <w:right w:val="single" w:sz="8" w:color="123054"/>
            </w:tcBorders>
            <w:vMerge w:val="restart"/>
          </w:tcPr>
          <w:p>
            <w:pPr>
              <w:ind w:left="40"/>
              <w:spacing w:after="0" w:line="207" w:lineRule="exact"/>
              <w:rPr>
                <w:sz w:val="20"/>
                <w:szCs w:val="20"/>
                <w:color w:val="auto"/>
              </w:rPr>
            </w:pPr>
            <w:r>
              <w:rPr>
                <w:rFonts w:ascii="Arial" w:cs="Arial" w:eastAsia="Arial" w:hAnsi="Arial"/>
                <w:sz w:val="20"/>
                <w:szCs w:val="20"/>
                <w:i w:val="1"/>
                <w:iCs w:val="1"/>
                <w:color w:val="auto"/>
              </w:rPr>
              <w:t>Chief Financial Officer &amp;</w:t>
            </w:r>
          </w:p>
        </w:tc>
        <w:tc>
          <w:tcPr>
            <w:tcW w:w="6000" w:type="dxa"/>
            <w:vAlign w:val="bottom"/>
            <w:gridSpan w:val="2"/>
          </w:tcPr>
          <w:p>
            <w:pPr>
              <w:ind w:left="120"/>
              <w:spacing w:after="0" w:line="154" w:lineRule="exact"/>
              <w:rPr>
                <w:sz w:val="20"/>
                <w:szCs w:val="20"/>
                <w:color w:val="auto"/>
              </w:rPr>
            </w:pPr>
            <w:r>
              <w:rPr>
                <w:rFonts w:ascii="Arial" w:cs="Arial" w:eastAsia="Arial" w:hAnsi="Arial"/>
                <w:sz w:val="16"/>
                <w:szCs w:val="16"/>
                <w:color w:val="auto"/>
              </w:rPr>
              <w:t>“Sears”), including Senior Vice President &amp; Chief Financial Officer</w:t>
            </w:r>
          </w:p>
        </w:tc>
        <w:tc>
          <w:tcPr>
            <w:tcW w:w="0" w:type="dxa"/>
            <w:vAlign w:val="bottom"/>
          </w:tcPr>
          <w:p>
            <w:pPr>
              <w:spacing w:after="0"/>
              <w:rPr>
                <w:sz w:val="1"/>
                <w:szCs w:val="1"/>
                <w:color w:val="auto"/>
              </w:rPr>
            </w:pPr>
          </w:p>
        </w:tc>
      </w:tr>
      <w:tr>
        <w:trPr>
          <w:trHeight w:val="54"/>
        </w:trPr>
        <w:tc>
          <w:tcPr>
            <w:tcW w:w="2840" w:type="dxa"/>
            <w:vAlign w:val="bottom"/>
            <w:tcBorders>
              <w:right w:val="single" w:sz="8" w:color="123054"/>
            </w:tcBorders>
            <w:vMerge w:val="continue"/>
          </w:tcPr>
          <w:p>
            <w:pPr>
              <w:spacing w:after="0"/>
              <w:rPr>
                <w:sz w:val="4"/>
                <w:szCs w:val="4"/>
                <w:color w:val="auto"/>
              </w:rPr>
            </w:pPr>
          </w:p>
        </w:tc>
        <w:tc>
          <w:tcPr>
            <w:tcW w:w="6000" w:type="dxa"/>
            <w:vAlign w:val="bottom"/>
            <w:gridSpan w:val="2"/>
            <w:vMerge w:val="restart"/>
          </w:tcPr>
          <w:p>
            <w:pPr>
              <w:ind w:left="120"/>
              <w:spacing w:after="0"/>
              <w:rPr>
                <w:sz w:val="20"/>
                <w:szCs w:val="20"/>
                <w:color w:val="auto"/>
              </w:rPr>
            </w:pPr>
            <w:r>
              <w:rPr>
                <w:rFonts w:ascii="Arial" w:cs="Arial" w:eastAsia="Arial" w:hAnsi="Arial"/>
                <w:sz w:val="20"/>
                <w:szCs w:val="20"/>
                <w:color w:val="auto"/>
              </w:rPr>
              <w:t>of Lands’ End, Inc., Vice President of Corporate Planning &amp;</w:t>
            </w:r>
          </w:p>
        </w:tc>
        <w:tc>
          <w:tcPr>
            <w:tcW w:w="0" w:type="dxa"/>
            <w:vAlign w:val="bottom"/>
          </w:tcPr>
          <w:p>
            <w:pPr>
              <w:spacing w:after="0"/>
              <w:rPr>
                <w:sz w:val="1"/>
                <w:szCs w:val="1"/>
                <w:color w:val="auto"/>
              </w:rPr>
            </w:pPr>
          </w:p>
        </w:tc>
      </w:tr>
      <w:tr>
        <w:trPr>
          <w:trHeight w:val="197"/>
        </w:trPr>
        <w:tc>
          <w:tcPr>
            <w:tcW w:w="2840" w:type="dxa"/>
            <w:vAlign w:val="bottom"/>
            <w:tcBorders>
              <w:right w:val="single" w:sz="8" w:color="123054"/>
            </w:tcBorders>
          </w:tcPr>
          <w:p>
            <w:pPr>
              <w:ind w:left="40"/>
              <w:spacing w:after="0" w:line="197" w:lineRule="exact"/>
              <w:rPr>
                <w:sz w:val="20"/>
                <w:szCs w:val="20"/>
                <w:color w:val="auto"/>
              </w:rPr>
            </w:pPr>
            <w:r>
              <w:rPr>
                <w:rFonts w:ascii="Arial" w:cs="Arial" w:eastAsia="Arial" w:hAnsi="Arial"/>
                <w:sz w:val="20"/>
                <w:szCs w:val="20"/>
                <w:i w:val="1"/>
                <w:iCs w:val="1"/>
                <w:color w:val="auto"/>
              </w:rPr>
              <w:t>Chief Operating Officer, former</w:t>
            </w:r>
          </w:p>
        </w:tc>
        <w:tc>
          <w:tcPr>
            <w:tcW w:w="6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40" w:type="dxa"/>
            <w:vAlign w:val="bottom"/>
            <w:tcBorders>
              <w:right w:val="single" w:sz="8" w:color="123054"/>
            </w:tcBorders>
          </w:tcPr>
          <w:p>
            <w:pPr>
              <w:ind w:left="40"/>
              <w:spacing w:after="0" w:line="194" w:lineRule="exact"/>
              <w:rPr>
                <w:sz w:val="20"/>
                <w:szCs w:val="20"/>
                <w:color w:val="auto"/>
              </w:rPr>
            </w:pPr>
            <w:r>
              <w:rPr>
                <w:rFonts w:ascii="Arial" w:cs="Arial" w:eastAsia="Arial" w:hAnsi="Arial"/>
                <w:sz w:val="20"/>
                <w:szCs w:val="20"/>
                <w:i w:val="1"/>
                <w:iCs w:val="1"/>
                <w:color w:val="auto"/>
              </w:rPr>
              <w:t>Interim Chief Executive Officer</w:t>
            </w:r>
          </w:p>
        </w:tc>
        <w:tc>
          <w:tcPr>
            <w:tcW w:w="6000" w:type="dxa"/>
            <w:vAlign w:val="bottom"/>
            <w:gridSpan w:val="2"/>
          </w:tcPr>
          <w:p>
            <w:pPr>
              <w:ind w:left="120"/>
              <w:spacing w:after="0" w:line="194" w:lineRule="exact"/>
              <w:rPr>
                <w:sz w:val="20"/>
                <w:szCs w:val="20"/>
                <w:color w:val="auto"/>
              </w:rPr>
            </w:pPr>
            <w:r>
              <w:rPr>
                <w:rFonts w:ascii="Arial" w:cs="Arial" w:eastAsia="Arial" w:hAnsi="Arial"/>
                <w:sz w:val="20"/>
                <w:szCs w:val="20"/>
                <w:color w:val="auto"/>
              </w:rPr>
              <w:t>Analysis, and Vice President of Investor Relations. Prior to Sears,</w:t>
            </w: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vMerge w:val="restart"/>
          </w:tcPr>
          <w:p>
            <w:pPr>
              <w:ind w:left="4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56</w:t>
            </w: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Mr. Westenberger was with Kraft Foods, Inc. He began his career</w:t>
            </w:r>
          </w:p>
        </w:tc>
        <w:tc>
          <w:tcPr>
            <w:tcW w:w="0" w:type="dxa"/>
            <w:vAlign w:val="bottom"/>
          </w:tcPr>
          <w:p>
            <w:pPr>
              <w:spacing w:after="0"/>
              <w:rPr>
                <w:sz w:val="1"/>
                <w:szCs w:val="1"/>
                <w:color w:val="auto"/>
              </w:rPr>
            </w:pPr>
          </w:p>
        </w:tc>
      </w:tr>
      <w:tr>
        <w:trPr>
          <w:trHeight w:val="109"/>
        </w:trPr>
        <w:tc>
          <w:tcPr>
            <w:tcW w:w="2840" w:type="dxa"/>
            <w:vAlign w:val="bottom"/>
            <w:tcBorders>
              <w:right w:val="single" w:sz="8" w:color="123054"/>
            </w:tcBorders>
            <w:vMerge w:val="continue"/>
          </w:tcPr>
          <w:p>
            <w:pPr>
              <w:spacing w:after="0"/>
              <w:rPr>
                <w:sz w:val="9"/>
                <w:szCs w:val="9"/>
                <w:color w:val="auto"/>
              </w:rPr>
            </w:pPr>
          </w:p>
        </w:tc>
        <w:tc>
          <w:tcPr>
            <w:tcW w:w="6000" w:type="dxa"/>
            <w:vAlign w:val="bottom"/>
            <w:gridSpan w:val="2"/>
            <w:vMerge w:val="restart"/>
          </w:tcPr>
          <w:p>
            <w:pPr>
              <w:ind w:left="120"/>
              <w:spacing w:after="0"/>
              <w:rPr>
                <w:sz w:val="20"/>
                <w:szCs w:val="20"/>
                <w:color w:val="auto"/>
              </w:rPr>
            </w:pPr>
            <w:r>
              <w:rPr>
                <w:rFonts w:ascii="Arial" w:cs="Arial" w:eastAsia="Arial" w:hAnsi="Arial"/>
                <w:sz w:val="20"/>
                <w:szCs w:val="20"/>
                <w:color w:val="auto"/>
              </w:rPr>
              <w:t>at Price Waterhouse LLP, a predecessor firm to</w:t>
            </w:r>
          </w:p>
        </w:tc>
        <w:tc>
          <w:tcPr>
            <w:tcW w:w="0" w:type="dxa"/>
            <w:vAlign w:val="bottom"/>
          </w:tcPr>
          <w:p>
            <w:pPr>
              <w:spacing w:after="0"/>
              <w:rPr>
                <w:sz w:val="1"/>
                <w:szCs w:val="1"/>
                <w:color w:val="auto"/>
              </w:rPr>
            </w:pPr>
          </w:p>
        </w:tc>
      </w:tr>
      <w:tr>
        <w:trPr>
          <w:trHeight w:val="120"/>
        </w:trPr>
        <w:tc>
          <w:tcPr>
            <w:tcW w:w="2840" w:type="dxa"/>
            <w:vAlign w:val="bottom"/>
            <w:tcBorders>
              <w:right w:val="single" w:sz="8" w:color="123054"/>
            </w:tcBorders>
          </w:tcPr>
          <w:p>
            <w:pPr>
              <w:spacing w:after="0"/>
              <w:rPr>
                <w:sz w:val="10"/>
                <w:szCs w:val="10"/>
                <w:color w:val="auto"/>
              </w:rPr>
            </w:pPr>
          </w:p>
        </w:tc>
        <w:tc>
          <w:tcPr>
            <w:tcW w:w="6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123054"/>
            </w:tcBorders>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20"/>
                <w:szCs w:val="20"/>
                <w:color w:val="auto"/>
              </w:rPr>
              <w:t>PricewaterhouseCoopers LLP, and is a certified public</w:t>
            </w:r>
          </w:p>
        </w:tc>
        <w:tc>
          <w:tcPr>
            <w:tcW w:w="0" w:type="dxa"/>
            <w:vAlign w:val="bottom"/>
          </w:tcPr>
          <w:p>
            <w:pPr>
              <w:spacing w:after="0"/>
              <w:rPr>
                <w:sz w:val="1"/>
                <w:szCs w:val="1"/>
                <w:color w:val="auto"/>
              </w:rPr>
            </w:pPr>
          </w:p>
        </w:tc>
      </w:tr>
      <w:tr>
        <w:trPr>
          <w:trHeight w:val="263"/>
        </w:trPr>
        <w:tc>
          <w:tcPr>
            <w:tcW w:w="2840" w:type="dxa"/>
            <w:vAlign w:val="bottom"/>
            <w:tcBorders>
              <w:bottom w:val="single" w:sz="8" w:color="123054"/>
              <w:right w:val="single" w:sz="8" w:color="123054"/>
            </w:tcBorders>
          </w:tcPr>
          <w:p>
            <w:pPr>
              <w:spacing w:after="0"/>
              <w:rPr>
                <w:sz w:val="22"/>
                <w:szCs w:val="22"/>
                <w:color w:val="auto"/>
              </w:rPr>
            </w:pPr>
          </w:p>
        </w:tc>
        <w:tc>
          <w:tcPr>
            <w:tcW w:w="5760" w:type="dxa"/>
            <w:vAlign w:val="bottom"/>
            <w:tcBorders>
              <w:bottom w:val="single" w:sz="8" w:color="123054"/>
            </w:tcBorders>
          </w:tcPr>
          <w:p>
            <w:pPr>
              <w:ind w:left="120"/>
              <w:spacing w:after="0"/>
              <w:rPr>
                <w:sz w:val="20"/>
                <w:szCs w:val="20"/>
                <w:color w:val="auto"/>
              </w:rPr>
            </w:pPr>
            <w:r>
              <w:rPr>
                <w:rFonts w:ascii="Arial" w:cs="Arial" w:eastAsia="Arial" w:hAnsi="Arial"/>
                <w:sz w:val="20"/>
                <w:szCs w:val="20"/>
                <w:color w:val="auto"/>
              </w:rPr>
              <w:t>accountant.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019"/>
          </w:cols>
          <w:pgMar w:left="1440" w:top="1440" w:right="1440" w:bottom="149" w:gutter="0" w:footer="0" w:header="0"/>
          <w:type w:val="continuous"/>
        </w:sectPr>
      </w:pPr>
    </w:p>
    <w:bookmarkStart w:id="28" w:name="page29"/>
    <w:bookmarkEnd w:id="28"/>
    <w:p>
      <w:pPr>
        <w:ind w:left="3120"/>
        <w:spacing w:after="0" w:line="238"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865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8865870"/>
                    </a:xfrm>
                    <a:prstGeom prst="rect">
                      <a:avLst/>
                    </a:prstGeom>
                    <a:noFill/>
                  </pic:spPr>
                </pic:pic>
              </a:graphicData>
            </a:graphic>
          </wp:anchor>
        </w:drawing>
        <w:t>Kendra D. Krugman</w:t>
      </w:r>
      <w:r>
        <w:rPr>
          <w:rFonts w:ascii="Arial" w:cs="Arial" w:eastAsia="Arial" w:hAnsi="Arial"/>
          <w:sz w:val="20"/>
          <w:szCs w:val="20"/>
          <w:color w:val="auto"/>
        </w:rPr>
        <w:t>joined Carter's in 2007 as Manager,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Merchandising. Ms. Krugman was named Director, Merchandising in 2008, Vice President Sales and Merchandising, Mass Channel in 2012, Senior Vice President Carter’s Brands and Licensing in 2016, Executive Vice President, Merchandising &amp; Design in July 2018, Executive Vice President, Retail and Chief Merchandising Officer in March 2023, and Senior Executive Vice President, Chief Creative &amp; Growth Officer in March 2024. Prior to joining Carter's, Ms. Krugman held positions at The Gap, Inc. and French Connection Group.</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KENDRA D. KRUGMAN</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Senior Executive Vice President,</w:t>
      </w:r>
    </w:p>
    <w:p>
      <w:pPr>
        <w:ind w:left="200"/>
        <w:spacing w:after="0"/>
        <w:rPr>
          <w:sz w:val="20"/>
          <w:szCs w:val="20"/>
          <w:color w:val="auto"/>
        </w:rPr>
      </w:pPr>
      <w:r>
        <w:rPr>
          <w:rFonts w:ascii="Arial" w:cs="Arial" w:eastAsia="Arial" w:hAnsi="Arial"/>
          <w:sz w:val="19"/>
          <w:szCs w:val="19"/>
          <w:i w:val="1"/>
          <w:iCs w:val="1"/>
          <w:color w:val="auto"/>
        </w:rPr>
        <w:t>Chief Creative &amp; Growth Officer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47</w:t>
      </w:r>
    </w:p>
    <w:p>
      <w:pPr>
        <w:spacing w:after="0" w:line="200" w:lineRule="exact"/>
        <w:rPr>
          <w:sz w:val="20"/>
          <w:szCs w:val="20"/>
          <w:color w:val="auto"/>
        </w:rPr>
      </w:pPr>
    </w:p>
    <w:p>
      <w:pPr>
        <w:spacing w:after="0" w:line="220" w:lineRule="exact"/>
        <w:rPr>
          <w:sz w:val="20"/>
          <w:szCs w:val="20"/>
          <w:color w:val="auto"/>
        </w:rPr>
      </w:pPr>
    </w:p>
    <w:p>
      <w:pPr>
        <w:ind w:left="3120" w:right="220"/>
        <w:spacing w:after="0" w:line="252" w:lineRule="auto"/>
        <w:rPr>
          <w:sz w:val="20"/>
          <w:szCs w:val="20"/>
          <w:color w:val="auto"/>
        </w:rPr>
      </w:pPr>
      <w:r>
        <w:rPr>
          <w:rFonts w:ascii="Arial" w:cs="Arial" w:eastAsia="Arial" w:hAnsi="Arial"/>
          <w:sz w:val="19"/>
          <w:szCs w:val="19"/>
          <w:b w:val="1"/>
          <w:bCs w:val="1"/>
          <w:i w:val="1"/>
          <w:iCs w:val="1"/>
          <w:color w:val="auto"/>
        </w:rPr>
        <w:t>Julie A. D’Emili</w:t>
      </w:r>
      <w:r>
        <w:rPr>
          <w:rFonts w:ascii="Arial" w:cs="Arial" w:eastAsia="Arial" w:hAnsi="Arial"/>
          <w:sz w:val="19"/>
          <w:szCs w:val="19"/>
          <w:color w:val="auto"/>
        </w:rPr>
        <w:t>j</w:t>
      </w:r>
      <w:r>
        <w:rPr>
          <w:rFonts w:ascii="Arial" w:cs="Arial" w:eastAsia="Arial" w:hAnsi="Arial"/>
          <w:sz w:val="19"/>
          <w:szCs w:val="19"/>
          <w:b w:val="1"/>
          <w:bCs w:val="1"/>
          <w:color w:val="auto"/>
        </w:rPr>
        <w:t>o</w:t>
      </w:r>
      <w:r>
        <w:rPr>
          <w:rFonts w:ascii="Arial" w:cs="Arial" w:eastAsia="Arial" w:hAnsi="Arial"/>
          <w:sz w:val="19"/>
          <w:szCs w:val="19"/>
          <w:color w:val="auto"/>
        </w:rPr>
        <w:t>ined Carter’s in 2006 as Vice President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Sales. Ms. D’Emilio was named Senior Vice President of Sales in 2013, and then Executive Vice President, Sales in 2016. In 2020, Ms. D’Emilio was appointed Executive Vice President, Global Sales. Prior to joining Carter's, Ms. D’Emilio was with Calvin Klein Jeans, a division of The Warnaco Group, Inc., in various management positions, including Executive Vice President of Juniors’ and Girls, and Vice President of the Women’s Division. Ms. D’Emilio began her career with Liz Claiborne Inc. and also worked for London Fog Industries, Inc. and Jones Apparel Group, a predecessor of The Jones Group, Inc.</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JULIE A. D'EMILIO</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Executive Vice President,</w:t>
      </w:r>
    </w:p>
    <w:p>
      <w:pPr>
        <w:ind w:left="200"/>
        <w:spacing w:after="0"/>
        <w:rPr>
          <w:sz w:val="20"/>
          <w:szCs w:val="20"/>
          <w:color w:val="auto"/>
        </w:rPr>
      </w:pPr>
      <w:r>
        <w:rPr>
          <w:rFonts w:ascii="Arial" w:cs="Arial" w:eastAsia="Arial" w:hAnsi="Arial"/>
          <w:sz w:val="20"/>
          <w:szCs w:val="20"/>
          <w:i w:val="1"/>
          <w:iCs w:val="1"/>
          <w:color w:val="auto"/>
        </w:rPr>
        <w:t>Global Sales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567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156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20" w:right="300"/>
        <w:spacing w:after="0" w:line="255" w:lineRule="auto"/>
        <w:rPr>
          <w:sz w:val="20"/>
          <w:szCs w:val="20"/>
          <w:color w:val="auto"/>
        </w:rPr>
      </w:pPr>
      <w:r>
        <w:rPr>
          <w:rFonts w:ascii="Arial" w:cs="Arial" w:eastAsia="Arial" w:hAnsi="Arial"/>
          <w:sz w:val="19"/>
          <w:szCs w:val="19"/>
          <w:b w:val="1"/>
          <w:bCs w:val="1"/>
          <w:i w:val="1"/>
          <w:iCs w:val="1"/>
          <w:color w:val="auto"/>
        </w:rPr>
        <w:t>Jeffrey M. Jenkins</w:t>
      </w:r>
      <w:r>
        <w:rPr>
          <w:rFonts w:ascii="Arial" w:cs="Arial" w:eastAsia="Arial" w:hAnsi="Arial"/>
          <w:sz w:val="19"/>
          <w:szCs w:val="19"/>
          <w:color w:val="auto"/>
        </w:rPr>
        <w:t>joined Carter’s in 2019 as Executive Vice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President, Global Marketing. From July 2017 to July 2019, Mr. Jenkins was with CKE Restaurants Holdings, Inc., the parent company of the Carl’s Jr. and Hardee’s fast food restaurant brands, serving most recently as Global Chief Digital Officer and previously as Chief Marketing Officer. From June 2015 to July</w:t>
      </w:r>
    </w:p>
    <w:p>
      <w:pPr>
        <w:sectPr>
          <w:pgSz w:w="11900" w:h="16838" w:orient="portrait"/>
          <w:cols w:equalWidth="0" w:num="1">
            <w:col w:w="9040"/>
          </w:cols>
          <w:pgMar w:left="1440" w:top="1144" w:right="1419" w:bottom="0" w:gutter="0" w:footer="0" w:header="0"/>
        </w:sectPr>
      </w:pPr>
    </w:p>
    <w:bookmarkStart w:id="29" w:name="page30"/>
    <w:bookmarkEnd w:id="29"/>
    <w:p>
      <w:pPr>
        <w:ind w:left="3120" w:right="580"/>
        <w:spacing w:after="0" w:line="203" w:lineRule="auto"/>
        <w:rPr>
          <w:sz w:val="20"/>
          <w:szCs w:val="20"/>
          <w:color w:val="auto"/>
        </w:rPr>
      </w:pPr>
      <w:r>
        <w:rPr>
          <w:rFonts w:ascii="Arial" w:cs="Arial" w:eastAsia="Arial" w:hAnsi="Arial"/>
          <w:sz w:val="19"/>
          <w:szCs w:val="19"/>
          <w:color w:val="auto"/>
        </w:rPr>
        <w:t>2017, Mr. Jenkins was with Whole Foods Market, Inc. as Vice President, Digital Marketing &amp; Channel Activation and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-211455</wp:posOffset>
            </wp:positionV>
            <wp:extent cx="6810375" cy="7288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7288530"/>
                    </a:xfrm>
                    <a:prstGeom prst="rect">
                      <a:avLst/>
                    </a:prstGeom>
                    <a:noFill/>
                  </pic:spPr>
                </pic:pic>
              </a:graphicData>
            </a:graphic>
          </wp:anchor>
        </w:drawing>
      </w:r>
    </w:p>
    <w:p>
      <w:pPr>
        <w:ind w:left="3120" w:right="240"/>
        <w:spacing w:after="0" w:line="246" w:lineRule="auto"/>
        <w:rPr>
          <w:sz w:val="20"/>
          <w:szCs w:val="20"/>
          <w:color w:val="auto"/>
        </w:rPr>
      </w:pPr>
      <w:r>
        <w:rPr>
          <w:rFonts w:ascii="Arial" w:cs="Arial" w:eastAsia="Arial" w:hAnsi="Arial"/>
          <w:sz w:val="20"/>
          <w:szCs w:val="20"/>
          <w:color w:val="auto"/>
        </w:rPr>
        <w:t>President, Digital Strategy &amp; Marketing. From 2008 to June 2015, Mr. Jenkins was with Yum! Brands, Inc. in marketing roles of increasing responsibility.</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JEFFREY M. JENKINS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Executive Vice President,</w:t>
      </w:r>
    </w:p>
    <w:p>
      <w:pPr>
        <w:ind w:left="200"/>
        <w:spacing w:after="0"/>
        <w:rPr>
          <w:sz w:val="20"/>
          <w:szCs w:val="20"/>
          <w:color w:val="auto"/>
        </w:rPr>
      </w:pPr>
      <w:r>
        <w:rPr>
          <w:rFonts w:ascii="Arial" w:cs="Arial" w:eastAsia="Arial" w:hAnsi="Arial"/>
          <w:sz w:val="20"/>
          <w:szCs w:val="20"/>
          <w:i w:val="1"/>
          <w:iCs w:val="1"/>
          <w:color w:val="auto"/>
        </w:rPr>
        <w:t>Global Marketing</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47</w:t>
      </w:r>
    </w:p>
    <w:p>
      <w:pPr>
        <w:spacing w:after="0" w:line="339" w:lineRule="exact"/>
        <w:rPr>
          <w:sz w:val="20"/>
          <w:szCs w:val="20"/>
          <w:color w:val="auto"/>
        </w:rPr>
      </w:pPr>
    </w:p>
    <w:p>
      <w:pPr>
        <w:ind w:left="3120" w:right="100"/>
        <w:spacing w:after="0" w:line="238" w:lineRule="auto"/>
        <w:rPr>
          <w:sz w:val="20"/>
          <w:szCs w:val="20"/>
          <w:color w:val="auto"/>
        </w:rPr>
      </w:pPr>
      <w:r>
        <w:rPr>
          <w:rFonts w:ascii="Arial" w:cs="Arial" w:eastAsia="Arial" w:hAnsi="Arial"/>
          <w:sz w:val="20"/>
          <w:szCs w:val="20"/>
          <w:b w:val="1"/>
          <w:bCs w:val="1"/>
          <w:i w:val="1"/>
          <w:iCs w:val="1"/>
          <w:color w:val="auto"/>
        </w:rPr>
        <w:t>Allison Peterson</w:t>
      </w:r>
      <w:r>
        <w:rPr>
          <w:rFonts w:ascii="Arial" w:cs="Arial" w:eastAsia="Arial" w:hAnsi="Arial"/>
          <w:sz w:val="20"/>
          <w:szCs w:val="20"/>
          <w:color w:val="auto"/>
        </w:rPr>
        <w:t>joined Carter’s in July 2024 as Executive 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Chief Retail &amp; Digital Officer. From 2004 to 2023, Ms. Peterson was with Best Buy Co., Inc. (“Best Buy”), serving most recently as Executive Vice President, Chief Customer Officer with responsibilities for strategy, customer experience and insights, marketing, and loyalty. Her previous management positions at Best Buy included Senior Vice President, Chief Customer &amp; Marketing Officer, President, E-Commerce, and Vice President, Category Marketing, Brand Strategy &amp; Planning. Prior to Best Buy, Ms. Peterson worked for Target Corporation in merchandising and planning roles of increasing responsibility.</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ALLISON PETERSON</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Executive Vice President,</w:t>
      </w:r>
    </w:p>
    <w:p>
      <w:pPr>
        <w:ind w:left="200"/>
        <w:spacing w:after="0"/>
        <w:rPr>
          <w:sz w:val="20"/>
          <w:szCs w:val="20"/>
          <w:color w:val="auto"/>
        </w:rPr>
      </w:pPr>
      <w:r>
        <w:rPr>
          <w:rFonts w:ascii="Arial" w:cs="Arial" w:eastAsia="Arial" w:hAnsi="Arial"/>
          <w:sz w:val="20"/>
          <w:szCs w:val="20"/>
          <w:i w:val="1"/>
          <w:iCs w:val="1"/>
          <w:color w:val="auto"/>
        </w:rPr>
        <w:t>Chief Retail &amp; Digital Officer</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145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314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20"/>
        <w:spacing w:after="0" w:line="238" w:lineRule="auto"/>
        <w:rPr>
          <w:sz w:val="20"/>
          <w:szCs w:val="20"/>
          <w:color w:val="auto"/>
        </w:rPr>
      </w:pPr>
      <w:r>
        <w:rPr>
          <w:rFonts w:ascii="Arial" w:cs="Arial" w:eastAsia="Arial" w:hAnsi="Arial"/>
          <w:sz w:val="20"/>
          <w:szCs w:val="20"/>
          <w:b w:val="1"/>
          <w:bCs w:val="1"/>
          <w:i w:val="1"/>
          <w:iCs w:val="1"/>
          <w:color w:val="auto"/>
        </w:rPr>
        <w:t>Antonio D. Robinson</w:t>
      </w:r>
      <w:r>
        <w:rPr>
          <w:rFonts w:ascii="Arial" w:cs="Arial" w:eastAsia="Arial" w:hAnsi="Arial"/>
          <w:sz w:val="20"/>
          <w:szCs w:val="20"/>
          <w:color w:val="auto"/>
        </w:rPr>
        <w:t>joined Carter’s in 2010 as Vice President,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Associate General Counsel. Mr. Robinson was named Vice President, Deputy General Counsel &amp; Chief Compliance Officer in 2019; Senior Vice President, Corporate Social Responsibility in 2020; and Senior Vice President, General Counsel, Secretary, Corporate Social Responsibility &amp; Chief Compliance Officer in 2023. Prior to joining Carter’s, Mr. Robinson was a shareholder and attorney in private practice in the Atlanta office of Littler Mendelson P.C.</w:t>
      </w: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23054"/>
        </w:rPr>
        <w:t>ANTONIO D. ROBINSON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Senior Vice President,</w:t>
      </w:r>
    </w:p>
    <w:p>
      <w:pPr>
        <w:ind w:left="160"/>
        <w:spacing w:after="0" w:line="211" w:lineRule="auto"/>
        <w:rPr>
          <w:sz w:val="20"/>
          <w:szCs w:val="20"/>
          <w:color w:val="auto"/>
        </w:rPr>
      </w:pPr>
      <w:r>
        <w:rPr>
          <w:rFonts w:ascii="Arial" w:cs="Arial" w:eastAsia="Arial" w:hAnsi="Arial"/>
          <w:sz w:val="20"/>
          <w:szCs w:val="20"/>
          <w:i w:val="1"/>
          <w:iCs w:val="1"/>
          <w:color w:val="auto"/>
        </w:rPr>
        <w:t>General Counsel, Secretary,</w:t>
      </w:r>
    </w:p>
    <w:p>
      <w:pPr>
        <w:ind w:left="160"/>
        <w:spacing w:after="0" w:line="211" w:lineRule="auto"/>
        <w:rPr>
          <w:sz w:val="20"/>
          <w:szCs w:val="20"/>
          <w:color w:val="auto"/>
        </w:rPr>
      </w:pPr>
      <w:r>
        <w:rPr>
          <w:rFonts w:ascii="Arial" w:cs="Arial" w:eastAsia="Arial" w:hAnsi="Arial"/>
          <w:sz w:val="20"/>
          <w:szCs w:val="20"/>
          <w:i w:val="1"/>
          <w:iCs w:val="1"/>
          <w:color w:val="auto"/>
        </w:rPr>
        <w:t>Corporate Social Responsibility &amp;</w:t>
      </w:r>
    </w:p>
    <w:p>
      <w:pPr>
        <w:sectPr>
          <w:pgSz w:w="11900" w:h="16838" w:orient="portrait"/>
          <w:cols w:equalWidth="0" w:num="1">
            <w:col w:w="9080"/>
          </w:cols>
          <w:pgMar w:left="1440" w:top="104" w:right="1379" w:bottom="0" w:gutter="0" w:footer="0" w:header="0"/>
        </w:sectPr>
      </w:pPr>
    </w:p>
    <w:p>
      <w:pPr>
        <w:spacing w:after="0" w:line="1"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Chief Compliance Officer</w:t>
      </w:r>
    </w:p>
    <w:p>
      <w:pPr>
        <w:sectPr>
          <w:pgSz w:w="11900" w:h="16838" w:orient="portrait"/>
          <w:cols w:equalWidth="0" w:num="1">
            <w:col w:w="9080"/>
          </w:cols>
          <w:pgMar w:left="1440" w:top="104" w:right="1379" w:bottom="0" w:gutter="0" w:footer="0" w:header="0"/>
          <w:type w:val="continuous"/>
        </w:sectPr>
      </w:pPr>
    </w:p>
    <w:bookmarkStart w:id="30" w:name="page31"/>
    <w:bookmarkEnd w:id="30"/>
    <w:p>
      <w:pPr>
        <w:ind w:left="16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810375" cy="5711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5711190"/>
                    </a:xfrm>
                    <a:prstGeom prst="rect">
                      <a:avLst/>
                    </a:prstGeom>
                    <a:noFill/>
                  </pic:spPr>
                </pic:pic>
              </a:graphicData>
            </a:graphic>
          </wp:anchor>
        </w:drawing>
      </w:r>
    </w:p>
    <w:p>
      <w:pPr>
        <w:spacing w:after="0" w:line="196" w:lineRule="exact"/>
        <w:rPr>
          <w:sz w:val="20"/>
          <w:szCs w:val="20"/>
          <w:color w:val="auto"/>
        </w:rPr>
      </w:pPr>
    </w:p>
    <w:p>
      <w:pPr>
        <w:ind w:left="3120" w:right="39"/>
        <w:spacing w:after="0" w:line="242" w:lineRule="auto"/>
        <w:rPr>
          <w:sz w:val="20"/>
          <w:szCs w:val="20"/>
          <w:color w:val="auto"/>
        </w:rPr>
      </w:pPr>
      <w:r>
        <w:rPr>
          <w:rFonts w:ascii="Arial" w:cs="Arial" w:eastAsia="Arial" w:hAnsi="Arial"/>
          <w:sz w:val="20"/>
          <w:szCs w:val="20"/>
          <w:b w:val="1"/>
          <w:bCs w:val="1"/>
          <w:i w:val="1"/>
          <w:iCs w:val="1"/>
          <w:color w:val="auto"/>
        </w:rPr>
        <w:t>Raghu R. Sagi</w:t>
      </w:r>
      <w:r>
        <w:rPr>
          <w:rFonts w:ascii="Arial" w:cs="Arial" w:eastAsia="Arial" w:hAnsi="Arial"/>
          <w:sz w:val="20"/>
          <w:szCs w:val="20"/>
          <w:color w:val="auto"/>
        </w:rPr>
        <w:t>joined Carter’s in April 2024 as Executive 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Chief Information &amp; Technology Officer. From 2019 to 2024, Mr. Sagi served as the Chief Information Officer of Inspire Brands, Inc. From 2011 to 2019, Mr. Sagi served in various roles at Sephora USA, Inc., including Senior Vice President and Chief Engineering Officer responsible for the technology platforms supporting retail stores, eCommerce,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123054"/>
        </w:rPr>
        <w:t>RAGHU R. SAGI</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Executive Vice President,</w:t>
      </w:r>
    </w:p>
    <w:p>
      <w:pPr>
        <w:ind w:left="240"/>
        <w:spacing w:after="0" w:line="207" w:lineRule="auto"/>
        <w:rPr>
          <w:sz w:val="20"/>
          <w:szCs w:val="20"/>
          <w:color w:val="auto"/>
        </w:rPr>
      </w:pPr>
      <w:r>
        <w:rPr>
          <w:rFonts w:ascii="Arial" w:cs="Arial" w:eastAsia="Arial" w:hAnsi="Arial"/>
          <w:sz w:val="19"/>
          <w:szCs w:val="19"/>
          <w:i w:val="1"/>
          <w:iCs w:val="1"/>
          <w:color w:val="auto"/>
        </w:rPr>
        <w:t>Chief Information &amp; Technology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Officer</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4722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472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20" w:right="39"/>
        <w:spacing w:after="0" w:line="238" w:lineRule="auto"/>
        <w:rPr>
          <w:sz w:val="20"/>
          <w:szCs w:val="20"/>
          <w:color w:val="auto"/>
        </w:rPr>
      </w:pPr>
      <w:r>
        <w:rPr>
          <w:rFonts w:ascii="Arial" w:cs="Arial" w:eastAsia="Arial" w:hAnsi="Arial"/>
          <w:sz w:val="20"/>
          <w:szCs w:val="20"/>
          <w:b w:val="1"/>
          <w:bCs w:val="1"/>
          <w:i w:val="1"/>
          <w:iCs w:val="1"/>
          <w:color w:val="auto"/>
        </w:rPr>
        <w:t>Karen G. Smith</w:t>
      </w:r>
      <w:r>
        <w:rPr>
          <w:rFonts w:ascii="Arial" w:cs="Arial" w:eastAsia="Arial" w:hAnsi="Arial"/>
          <w:sz w:val="20"/>
          <w:szCs w:val="20"/>
          <w:color w:val="auto"/>
        </w:rPr>
        <w:t>joined Carter’s in 2022 as Executive Vice President,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Supply Chain. From 2019 to 2022, Ms. Smith was with Kontoor Brands, inc. (“Kontoor”), serving most recently as Executive Vice President of Supply Chain and previously as Vice President of Global Supply Chain Operations, a role she assumed after Kontoor’s 2019 spinoff from V.F. Corporation. From 2014 to 2019, she was with V.F. Corporation in various management positions, including Vice President, Supply Chain Operations, Americas East. Prior to V.F. Corporation, Ms. Smith worked for Jockey International in supply chain leadership roles of increasing responsibility.</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KAREN G. SMITH</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Executive Vice President,</w:t>
      </w:r>
    </w:p>
    <w:p>
      <w:pPr>
        <w:ind w:left="200"/>
        <w:spacing w:after="0"/>
        <w:rPr>
          <w:sz w:val="20"/>
          <w:szCs w:val="20"/>
          <w:color w:val="auto"/>
        </w:rPr>
      </w:pPr>
      <w:r>
        <w:rPr>
          <w:rFonts w:ascii="Arial" w:cs="Arial" w:eastAsia="Arial" w:hAnsi="Arial"/>
          <w:sz w:val="20"/>
          <w:szCs w:val="20"/>
          <w:i w:val="1"/>
          <w:iCs w:val="1"/>
          <w:color w:val="auto"/>
        </w:rPr>
        <w:t>Supply Chain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339" w:lineRule="exact"/>
        <w:rPr>
          <w:sz w:val="20"/>
          <w:szCs w:val="20"/>
          <w:color w:val="auto"/>
        </w:rPr>
      </w:pPr>
    </w:p>
    <w:p>
      <w:pPr>
        <w:ind w:left="3120" w:right="199"/>
        <w:spacing w:after="0" w:line="254" w:lineRule="auto"/>
        <w:rPr>
          <w:sz w:val="20"/>
          <w:szCs w:val="20"/>
          <w:color w:val="auto"/>
        </w:rPr>
      </w:pPr>
      <w:r>
        <w:rPr>
          <w:rFonts w:ascii="Arial" w:cs="Arial" w:eastAsia="Arial" w:hAnsi="Arial"/>
          <w:sz w:val="19"/>
          <w:szCs w:val="19"/>
          <w:b w:val="1"/>
          <w:bCs w:val="1"/>
          <w:i w:val="1"/>
          <w:iCs w:val="1"/>
          <w:color w:val="auto"/>
        </w:rPr>
        <w:t>Jill A. Wilson</w:t>
      </w:r>
      <w:r>
        <w:rPr>
          <w:rFonts w:ascii="Arial" w:cs="Arial" w:eastAsia="Arial" w:hAnsi="Arial"/>
          <w:sz w:val="19"/>
          <w:szCs w:val="19"/>
          <w:color w:val="auto"/>
        </w:rPr>
        <w:t>joined Carter’s in 2009 as Vice President of Human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Resources. In 2010, Ms. Wilson was promoted to Senior Vice President, Human Resources &amp; Talent Development. Ms. Wilson joined Carter's after more than 20 years with The May Company and Macy’s, Inc. ("Macy's"). While at Macy’s, Ms. Wilson held various human resource positions of increasing responsibility, including Group Vice President of Human Resources. Ms. Wilson has extensive experience in a broad range of human resource disciplines including global talent management, organizational development, learning and development, compensation,</w:t>
      </w:r>
    </w:p>
    <w:p>
      <w:pPr>
        <w:sectPr>
          <w:pgSz w:w="11900" w:h="16838" w:orient="portrait"/>
          <w:cols w:equalWidth="0" w:num="1">
            <w:col w:w="9019"/>
          </w:cols>
          <w:pgMar w:left="1440" w:top="104" w:right="1440" w:bottom="0" w:gutter="0" w:footer="0" w:header="0"/>
        </w:sectPr>
      </w:pPr>
    </w:p>
    <w:bookmarkStart w:id="31" w:name="page32"/>
    <w:bookmarkEnd w:id="31"/>
    <w:p>
      <w:pPr>
        <w:spacing w:after="0" w:line="45"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benefits, talent acquisition, and merger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810375" cy="4133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4133850"/>
                    </a:xfrm>
                    <a:prstGeom prst="rect">
                      <a:avLst/>
                    </a:prstGeom>
                    <a:noFill/>
                  </pic:spPr>
                </pic:pic>
              </a:graphicData>
            </a:graphic>
          </wp:anchor>
        </w:drawing>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123054"/>
        </w:rPr>
        <w:t>JILL A. WILSON</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Senior Vice President,</w:t>
      </w:r>
    </w:p>
    <w:p>
      <w:pPr>
        <w:ind w:left="200"/>
        <w:spacing w:after="0" w:line="211" w:lineRule="auto"/>
        <w:rPr>
          <w:sz w:val="20"/>
          <w:szCs w:val="20"/>
          <w:color w:val="auto"/>
        </w:rPr>
      </w:pPr>
      <w:r>
        <w:rPr>
          <w:rFonts w:ascii="Arial" w:cs="Arial" w:eastAsia="Arial" w:hAnsi="Arial"/>
          <w:sz w:val="20"/>
          <w:szCs w:val="20"/>
          <w:i w:val="1"/>
          <w:iCs w:val="1"/>
          <w:color w:val="auto"/>
        </w:rPr>
        <w:t>Human Resources &amp;</w:t>
      </w:r>
    </w:p>
    <w:p>
      <w:pPr>
        <w:ind w:left="200"/>
        <w:spacing w:after="0"/>
        <w:rPr>
          <w:sz w:val="20"/>
          <w:szCs w:val="20"/>
          <w:color w:val="auto"/>
        </w:rPr>
      </w:pPr>
      <w:r>
        <w:rPr>
          <w:rFonts w:ascii="Arial" w:cs="Arial" w:eastAsia="Arial" w:hAnsi="Arial"/>
          <w:sz w:val="20"/>
          <w:szCs w:val="20"/>
          <w:i w:val="1"/>
          <w:iCs w:val="1"/>
          <w:color w:val="auto"/>
        </w:rPr>
        <w:t>Talent Development</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2998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COMPENSATION DISCUSSION AND ANALYSIS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OVERVIEW</w:t>
      </w:r>
    </w:p>
    <w:p>
      <w:pPr>
        <w:spacing w:after="0" w:line="64" w:lineRule="exact"/>
        <w:rPr>
          <w:sz w:val="20"/>
          <w:szCs w:val="20"/>
          <w:color w:val="auto"/>
        </w:rPr>
      </w:pPr>
    </w:p>
    <w:p>
      <w:pPr>
        <w:ind w:left="140" w:right="80"/>
        <w:spacing w:after="0" w:line="254" w:lineRule="auto"/>
        <w:rPr>
          <w:sz w:val="20"/>
          <w:szCs w:val="20"/>
          <w:color w:val="auto"/>
        </w:rPr>
      </w:pPr>
      <w:r>
        <w:rPr>
          <w:rFonts w:ascii="Arial" w:cs="Arial" w:eastAsia="Arial" w:hAnsi="Arial"/>
          <w:sz w:val="20"/>
          <w:szCs w:val="20"/>
          <w:color w:val="auto"/>
        </w:rPr>
        <w:t>This Compensation Discussion and Analysis, or CD&amp;A, is intended to provide information regarding Carter’s executive compensation program and practices. This CD&amp;A covers a variety of topics, including Carter’s compensation philosophy regarding executive compensation, the role of our Compensation &amp; Human Capital Committee (also referred to in this CD&amp;A as the Committee), in setting the compensation of our executive officers, including our Named Executive Officers (“NEOs”), and our executive compensation decisions for fiscal2024.</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Our NEOs (with their titles as of the filing of this proxy statement) for fiscal2024 were:</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2920" w:type="dxa"/>
            <w:vAlign w:val="bottom"/>
            <w:shd w:val="clear" w:color="auto" w:fill="123054"/>
          </w:tcPr>
          <w:p>
            <w:pPr>
              <w:ind w:left="60"/>
              <w:spacing w:after="0"/>
              <w:rPr>
                <w:sz w:val="20"/>
                <w:szCs w:val="20"/>
                <w:color w:val="auto"/>
              </w:rPr>
            </w:pPr>
            <w:r>
              <w:rPr>
                <w:rFonts w:ascii="Arial" w:cs="Arial" w:eastAsia="Arial" w:hAnsi="Arial"/>
                <w:sz w:val="20"/>
                <w:szCs w:val="20"/>
                <w:b w:val="1"/>
                <w:bCs w:val="1"/>
                <w:color w:val="FFFFFF"/>
              </w:rPr>
              <w:t>NEO</w:t>
            </w:r>
          </w:p>
        </w:tc>
        <w:tc>
          <w:tcPr>
            <w:tcW w:w="5720" w:type="dxa"/>
            <w:vAlign w:val="bottom"/>
            <w:shd w:val="clear" w:color="auto" w:fill="123054"/>
          </w:tcPr>
          <w:p>
            <w:pPr>
              <w:ind w:left="680"/>
              <w:spacing w:after="0"/>
              <w:rPr>
                <w:sz w:val="20"/>
                <w:szCs w:val="20"/>
                <w:color w:val="auto"/>
              </w:rPr>
            </w:pPr>
            <w:r>
              <w:rPr>
                <w:rFonts w:ascii="Arial" w:cs="Arial" w:eastAsia="Arial" w:hAnsi="Arial"/>
                <w:sz w:val="20"/>
                <w:szCs w:val="20"/>
                <w:b w:val="1"/>
                <w:bCs w:val="1"/>
                <w:color w:val="FFFFFF"/>
              </w:rPr>
              <w:t>Position</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80"/>
              <w:spacing w:after="0" w:line="122" w:lineRule="exact"/>
              <w:rPr>
                <w:sz w:val="20"/>
                <w:szCs w:val="20"/>
                <w:color w:val="auto"/>
              </w:rPr>
            </w:pPr>
            <w:r>
              <w:rPr>
                <w:rFonts w:ascii="Arial" w:cs="Arial" w:eastAsia="Arial" w:hAnsi="Arial"/>
                <w:sz w:val="13"/>
                <w:szCs w:val="13"/>
                <w:color w:val="auto"/>
              </w:rPr>
              <w:t>1</w:t>
            </w:r>
          </w:p>
        </w:tc>
        <w:tc>
          <w:tcPr>
            <w:tcW w:w="5720" w:type="dxa"/>
            <w:vAlign w:val="bottom"/>
            <w:vMerge w:val="restart"/>
          </w:tcPr>
          <w:p>
            <w:pPr>
              <w:ind w:left="680"/>
              <w:spacing w:after="0"/>
              <w:rPr>
                <w:sz w:val="20"/>
                <w:szCs w:val="20"/>
                <w:color w:val="auto"/>
              </w:rPr>
            </w:pPr>
            <w:r>
              <w:rPr>
                <w:rFonts w:ascii="Arial" w:cs="Arial" w:eastAsia="Arial" w:hAnsi="Arial"/>
                <w:sz w:val="20"/>
                <w:szCs w:val="20"/>
                <w:color w:val="auto"/>
              </w:rPr>
              <w:t>Senior Executive Vice President,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920" w:type="dxa"/>
            <w:vAlign w:val="bottom"/>
          </w:tcPr>
          <w:p>
            <w:pPr>
              <w:ind w:left="60"/>
              <w:spacing w:after="0" w:line="127" w:lineRule="exact"/>
              <w:rPr>
                <w:sz w:val="20"/>
                <w:szCs w:val="20"/>
                <w:color w:val="auto"/>
              </w:rPr>
            </w:pPr>
            <w:r>
              <w:rPr>
                <w:rFonts w:ascii="Arial" w:cs="Arial" w:eastAsia="Arial" w:hAnsi="Arial"/>
                <w:sz w:val="14"/>
                <w:szCs w:val="14"/>
                <w:color w:val="auto"/>
              </w:rPr>
              <w:t>Richard F. Westenberger</w:t>
            </w:r>
          </w:p>
        </w:tc>
        <w:tc>
          <w:tcPr>
            <w:tcW w:w="5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5940" w:type="dxa"/>
            <w:vAlign w:val="bottom"/>
            <w:gridSpan w:val="2"/>
          </w:tcPr>
          <w:p>
            <w:pPr>
              <w:ind w:left="680"/>
              <w:spacing w:after="0"/>
              <w:rPr>
                <w:sz w:val="20"/>
                <w:szCs w:val="20"/>
                <w:color w:val="auto"/>
              </w:rPr>
            </w:pPr>
            <w:r>
              <w:rPr>
                <w:rFonts w:ascii="Arial" w:cs="Arial" w:eastAsia="Arial" w:hAnsi="Arial"/>
                <w:sz w:val="20"/>
                <w:szCs w:val="20"/>
                <w:color w:val="auto"/>
                <w:w w:val="98"/>
              </w:rPr>
              <w:t>Chief Financial Officer &amp; Chief Operating Officer, and former</w:t>
            </w:r>
          </w:p>
        </w:tc>
        <w:tc>
          <w:tcPr>
            <w:tcW w:w="0" w:type="dxa"/>
            <w:vAlign w:val="bottom"/>
          </w:tcPr>
          <w:p>
            <w:pPr>
              <w:spacing w:after="0"/>
              <w:rPr>
                <w:sz w:val="1"/>
                <w:szCs w:val="1"/>
                <w:color w:val="auto"/>
              </w:rPr>
            </w:pPr>
          </w:p>
        </w:tc>
      </w:tr>
      <w:tr>
        <w:trPr>
          <w:trHeight w:val="261"/>
        </w:trPr>
        <w:tc>
          <w:tcPr>
            <w:tcW w:w="2920" w:type="dxa"/>
            <w:vAlign w:val="bottom"/>
          </w:tcPr>
          <w:p>
            <w:pPr>
              <w:spacing w:after="0"/>
              <w:rPr>
                <w:sz w:val="22"/>
                <w:szCs w:val="22"/>
                <w:color w:val="auto"/>
              </w:rPr>
            </w:pPr>
          </w:p>
        </w:tc>
        <w:tc>
          <w:tcPr>
            <w:tcW w:w="5940" w:type="dxa"/>
            <w:vAlign w:val="bottom"/>
            <w:gridSpan w:val="2"/>
          </w:tcPr>
          <w:p>
            <w:pPr>
              <w:ind w:left="680"/>
              <w:spacing w:after="0"/>
              <w:rPr>
                <w:sz w:val="20"/>
                <w:szCs w:val="20"/>
                <w:color w:val="auto"/>
              </w:rPr>
            </w:pPr>
            <w:r>
              <w:rPr>
                <w:rFonts w:ascii="Arial" w:cs="Arial" w:eastAsia="Arial" w:hAnsi="Arial"/>
                <w:sz w:val="20"/>
                <w:szCs w:val="20"/>
                <w:color w:val="auto"/>
              </w:rPr>
              <w:t>Interim Chief Executive Officer</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color w:val="auto"/>
              </w:rPr>
              <w:t>Kendra D. Krugman</w:t>
            </w:r>
          </w:p>
        </w:tc>
        <w:tc>
          <w:tcPr>
            <w:tcW w:w="5940" w:type="dxa"/>
            <w:vAlign w:val="bottom"/>
            <w:gridSpan w:val="2"/>
          </w:tcPr>
          <w:p>
            <w:pPr>
              <w:ind w:left="680"/>
              <w:spacing w:after="0"/>
              <w:rPr>
                <w:sz w:val="20"/>
                <w:szCs w:val="20"/>
                <w:color w:val="auto"/>
              </w:rPr>
            </w:pPr>
            <w:r>
              <w:rPr>
                <w:rFonts w:ascii="Arial" w:cs="Arial" w:eastAsia="Arial" w:hAnsi="Arial"/>
                <w:sz w:val="20"/>
                <w:szCs w:val="20"/>
                <w:color w:val="auto"/>
              </w:rPr>
              <w:t>Senior Executive Vice President,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5940" w:type="dxa"/>
            <w:vAlign w:val="bottom"/>
            <w:gridSpan w:val="2"/>
          </w:tcPr>
          <w:p>
            <w:pPr>
              <w:ind w:left="680"/>
              <w:spacing w:after="0"/>
              <w:rPr>
                <w:sz w:val="20"/>
                <w:szCs w:val="20"/>
                <w:color w:val="auto"/>
              </w:rPr>
            </w:pPr>
            <w:r>
              <w:rPr>
                <w:rFonts w:ascii="Arial" w:cs="Arial" w:eastAsia="Arial" w:hAnsi="Arial"/>
                <w:sz w:val="20"/>
                <w:szCs w:val="20"/>
                <w:color w:val="auto"/>
              </w:rPr>
              <w:t>Chief Creative &amp; Growth Officer</w:t>
            </w:r>
          </w:p>
        </w:tc>
        <w:tc>
          <w:tcPr>
            <w:tcW w:w="0" w:type="dxa"/>
            <w:vAlign w:val="bottom"/>
          </w:tcPr>
          <w:p>
            <w:pPr>
              <w:spacing w:after="0"/>
              <w:rPr>
                <w:sz w:val="1"/>
                <w:szCs w:val="1"/>
                <w:color w:val="auto"/>
              </w:rPr>
            </w:pPr>
          </w:p>
        </w:tc>
      </w:tr>
      <w:tr>
        <w:trPr>
          <w:trHeight w:val="137"/>
        </w:trPr>
        <w:tc>
          <w:tcPr>
            <w:tcW w:w="2920" w:type="dxa"/>
            <w:vAlign w:val="bottom"/>
            <w:shd w:val="clear" w:color="auto" w:fill="DBDBDB"/>
          </w:tcPr>
          <w:p>
            <w:pPr>
              <w:ind w:left="1620"/>
              <w:spacing w:after="0" w:line="137" w:lineRule="exact"/>
              <w:rPr>
                <w:sz w:val="20"/>
                <w:szCs w:val="20"/>
                <w:color w:val="auto"/>
              </w:rPr>
            </w:pPr>
            <w:r>
              <w:rPr>
                <w:rFonts w:ascii="Arial" w:cs="Arial" w:eastAsia="Arial" w:hAnsi="Arial"/>
                <w:sz w:val="13"/>
                <w:szCs w:val="13"/>
                <w:color w:val="auto"/>
              </w:rPr>
              <w:t>2</w:t>
            </w:r>
          </w:p>
        </w:tc>
        <w:tc>
          <w:tcPr>
            <w:tcW w:w="5720" w:type="dxa"/>
            <w:vAlign w:val="bottom"/>
            <w:vMerge w:val="restart"/>
            <w:shd w:val="clear" w:color="auto" w:fill="DBDBDB"/>
          </w:tcPr>
          <w:p>
            <w:pPr>
              <w:ind w:left="680"/>
              <w:spacing w:after="0"/>
              <w:rPr>
                <w:sz w:val="20"/>
                <w:szCs w:val="20"/>
                <w:color w:val="auto"/>
              </w:rPr>
            </w:pPr>
            <w:r>
              <w:rPr>
                <w:rFonts w:ascii="Arial" w:cs="Arial" w:eastAsia="Arial" w:hAnsi="Arial"/>
                <w:sz w:val="20"/>
                <w:szCs w:val="20"/>
                <w:color w:val="auto"/>
              </w:rPr>
              <w:t>Executive Vice President, Chief Retail &amp; Digital Officer</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DBDBDB"/>
          </w:tcPr>
          <w:p>
            <w:pPr>
              <w:ind w:left="60"/>
              <w:spacing w:after="0" w:line="148" w:lineRule="exact"/>
              <w:rPr>
                <w:sz w:val="20"/>
                <w:szCs w:val="20"/>
                <w:color w:val="auto"/>
              </w:rPr>
            </w:pPr>
            <w:r>
              <w:rPr>
                <w:rFonts w:ascii="Arial" w:cs="Arial" w:eastAsia="Arial" w:hAnsi="Arial"/>
                <w:sz w:val="16"/>
                <w:szCs w:val="16"/>
                <w:color w:val="auto"/>
              </w:rPr>
              <w:t>Allison M. Peterson</w:t>
            </w:r>
          </w:p>
        </w:tc>
        <w:tc>
          <w:tcPr>
            <w:tcW w:w="5720" w:type="dxa"/>
            <w:vAlign w:val="bottom"/>
            <w:vMerge w:val="continue"/>
            <w:shd w:val="clear" w:color="auto" w:fill="DBDBDB"/>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180"/>
              <w:spacing w:after="0" w:line="135" w:lineRule="exact"/>
              <w:rPr>
                <w:sz w:val="20"/>
                <w:szCs w:val="20"/>
                <w:color w:val="auto"/>
              </w:rPr>
            </w:pPr>
            <w:r>
              <w:rPr>
                <w:rFonts w:ascii="Arial" w:cs="Arial" w:eastAsia="Arial" w:hAnsi="Arial"/>
                <w:sz w:val="13"/>
                <w:szCs w:val="13"/>
                <w:color w:val="auto"/>
              </w:rPr>
              <w:t>3</w:t>
            </w:r>
          </w:p>
        </w:tc>
        <w:tc>
          <w:tcPr>
            <w:tcW w:w="5940" w:type="dxa"/>
            <w:vAlign w:val="bottom"/>
            <w:gridSpan w:val="2"/>
            <w:vMerge w:val="restart"/>
          </w:tcPr>
          <w:p>
            <w:pPr>
              <w:ind w:left="680"/>
              <w:spacing w:after="0"/>
              <w:rPr>
                <w:sz w:val="20"/>
                <w:szCs w:val="20"/>
                <w:color w:val="auto"/>
              </w:rPr>
            </w:pPr>
            <w:r>
              <w:rPr>
                <w:rFonts w:ascii="Arial" w:cs="Arial" w:eastAsia="Arial" w:hAnsi="Arial"/>
                <w:sz w:val="20"/>
                <w:szCs w:val="20"/>
                <w:color w:val="auto"/>
              </w:rPr>
              <w:t>Executive Vice President,</w:t>
            </w:r>
          </w:p>
        </w:tc>
        <w:tc>
          <w:tcPr>
            <w:tcW w:w="0" w:type="dxa"/>
            <w:vAlign w:val="bottom"/>
          </w:tcPr>
          <w:p>
            <w:pPr>
              <w:spacing w:after="0"/>
              <w:rPr>
                <w:sz w:val="1"/>
                <w:szCs w:val="1"/>
                <w:color w:val="auto"/>
              </w:rPr>
            </w:pPr>
          </w:p>
        </w:tc>
      </w:tr>
      <w:tr>
        <w:trPr>
          <w:trHeight w:val="127"/>
        </w:trPr>
        <w:tc>
          <w:tcPr>
            <w:tcW w:w="2920" w:type="dxa"/>
            <w:vAlign w:val="bottom"/>
          </w:tcPr>
          <w:p>
            <w:pPr>
              <w:ind w:left="60"/>
              <w:spacing w:after="0" w:line="127" w:lineRule="exact"/>
              <w:rPr>
                <w:sz w:val="20"/>
                <w:szCs w:val="20"/>
                <w:color w:val="auto"/>
              </w:rPr>
            </w:pPr>
            <w:r>
              <w:rPr>
                <w:rFonts w:ascii="Arial" w:cs="Arial" w:eastAsia="Arial" w:hAnsi="Arial"/>
                <w:sz w:val="14"/>
                <w:szCs w:val="14"/>
                <w:color w:val="auto"/>
              </w:rPr>
              <w:t>Raghu R. Sagi</w:t>
            </w:r>
          </w:p>
        </w:tc>
        <w:tc>
          <w:tcPr>
            <w:tcW w:w="5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5940" w:type="dxa"/>
            <w:vAlign w:val="bottom"/>
            <w:gridSpan w:val="2"/>
          </w:tcPr>
          <w:p>
            <w:pPr>
              <w:ind w:left="680"/>
              <w:spacing w:after="0"/>
              <w:rPr>
                <w:sz w:val="20"/>
                <w:szCs w:val="20"/>
                <w:color w:val="auto"/>
              </w:rPr>
            </w:pPr>
            <w:r>
              <w:rPr>
                <w:rFonts w:ascii="Arial" w:cs="Arial" w:eastAsia="Arial" w:hAnsi="Arial"/>
                <w:sz w:val="20"/>
                <w:szCs w:val="20"/>
                <w:color w:val="auto"/>
              </w:rPr>
              <w:t>Chief Information &amp; Technology Officer</w:t>
            </w:r>
          </w:p>
        </w:tc>
        <w:tc>
          <w:tcPr>
            <w:tcW w:w="0" w:type="dxa"/>
            <w:vAlign w:val="bottom"/>
          </w:tcPr>
          <w:p>
            <w:pPr>
              <w:spacing w:after="0"/>
              <w:rPr>
                <w:sz w:val="1"/>
                <w:szCs w:val="1"/>
                <w:color w:val="auto"/>
              </w:rPr>
            </w:pPr>
          </w:p>
        </w:tc>
      </w:tr>
      <w:tr>
        <w:trPr>
          <w:trHeight w:val="137"/>
        </w:trPr>
        <w:tc>
          <w:tcPr>
            <w:tcW w:w="2920" w:type="dxa"/>
            <w:vAlign w:val="bottom"/>
            <w:shd w:val="clear" w:color="auto" w:fill="DBDBDB"/>
          </w:tcPr>
          <w:p>
            <w:pPr>
              <w:ind w:left="1440"/>
              <w:spacing w:after="0" w:line="137" w:lineRule="exact"/>
              <w:rPr>
                <w:sz w:val="20"/>
                <w:szCs w:val="20"/>
                <w:color w:val="auto"/>
              </w:rPr>
            </w:pPr>
            <w:r>
              <w:rPr>
                <w:rFonts w:ascii="Arial" w:cs="Arial" w:eastAsia="Arial" w:hAnsi="Arial"/>
                <w:sz w:val="13"/>
                <w:szCs w:val="13"/>
                <w:color w:val="auto"/>
              </w:rPr>
              <w:t>4</w:t>
            </w:r>
          </w:p>
        </w:tc>
        <w:tc>
          <w:tcPr>
            <w:tcW w:w="5720" w:type="dxa"/>
            <w:vAlign w:val="bottom"/>
            <w:vMerge w:val="restart"/>
            <w:shd w:val="clear" w:color="auto" w:fill="DBDBDB"/>
          </w:tcPr>
          <w:p>
            <w:pPr>
              <w:ind w:left="680"/>
              <w:spacing w:after="0"/>
              <w:rPr>
                <w:sz w:val="20"/>
                <w:szCs w:val="20"/>
                <w:color w:val="auto"/>
              </w:rPr>
            </w:pPr>
            <w:r>
              <w:rPr>
                <w:rFonts w:ascii="Arial" w:cs="Arial" w:eastAsia="Arial" w:hAnsi="Arial"/>
                <w:sz w:val="20"/>
                <w:szCs w:val="20"/>
                <w:color w:val="auto"/>
              </w:rPr>
              <w:t>Former Chairman, Chief Executive Officer &amp; President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DBDBDB"/>
          </w:tcPr>
          <w:p>
            <w:pPr>
              <w:ind w:left="60"/>
              <w:spacing w:after="0" w:line="148" w:lineRule="exact"/>
              <w:rPr>
                <w:sz w:val="20"/>
                <w:szCs w:val="20"/>
                <w:color w:val="auto"/>
              </w:rPr>
            </w:pPr>
            <w:r>
              <w:rPr>
                <w:rFonts w:ascii="Arial" w:cs="Arial" w:eastAsia="Arial" w:hAnsi="Arial"/>
                <w:sz w:val="16"/>
                <w:szCs w:val="16"/>
                <w:color w:val="auto"/>
              </w:rPr>
              <w:t>Michael D. Casey</w:t>
            </w:r>
          </w:p>
        </w:tc>
        <w:tc>
          <w:tcPr>
            <w:tcW w:w="5720" w:type="dxa"/>
            <w:vAlign w:val="bottom"/>
            <w:vMerge w:val="continue"/>
            <w:shd w:val="clear" w:color="auto" w:fill="DBDBDB"/>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20"/>
              <w:spacing w:after="0" w:line="135" w:lineRule="exact"/>
              <w:rPr>
                <w:sz w:val="20"/>
                <w:szCs w:val="20"/>
                <w:color w:val="auto"/>
              </w:rPr>
            </w:pPr>
            <w:r>
              <w:rPr>
                <w:rFonts w:ascii="Arial" w:cs="Arial" w:eastAsia="Arial" w:hAnsi="Arial"/>
                <w:sz w:val="13"/>
                <w:szCs w:val="13"/>
                <w:color w:val="auto"/>
              </w:rPr>
              <w:t>5</w:t>
            </w:r>
          </w:p>
        </w:tc>
        <w:tc>
          <w:tcPr>
            <w:tcW w:w="5940" w:type="dxa"/>
            <w:vAlign w:val="bottom"/>
            <w:gridSpan w:val="2"/>
            <w:vMerge w:val="restart"/>
          </w:tcPr>
          <w:p>
            <w:pPr>
              <w:ind w:left="680"/>
              <w:spacing w:after="0"/>
              <w:rPr>
                <w:sz w:val="20"/>
                <w:szCs w:val="20"/>
                <w:color w:val="auto"/>
              </w:rPr>
            </w:pPr>
            <w:r>
              <w:rPr>
                <w:rFonts w:ascii="Arial" w:cs="Arial" w:eastAsia="Arial" w:hAnsi="Arial"/>
                <w:sz w:val="20"/>
                <w:szCs w:val="20"/>
                <w:color w:val="auto"/>
              </w:rPr>
              <w:t>Former President &amp; Chief Operating Officer</w:t>
            </w:r>
          </w:p>
        </w:tc>
        <w:tc>
          <w:tcPr>
            <w:tcW w:w="0" w:type="dxa"/>
            <w:vAlign w:val="bottom"/>
          </w:tcPr>
          <w:p>
            <w:pPr>
              <w:spacing w:after="0"/>
              <w:rPr>
                <w:sz w:val="1"/>
                <w:szCs w:val="1"/>
                <w:color w:val="auto"/>
              </w:rPr>
            </w:pPr>
          </w:p>
        </w:tc>
      </w:tr>
      <w:tr>
        <w:trPr>
          <w:trHeight w:val="242"/>
        </w:trPr>
        <w:tc>
          <w:tcPr>
            <w:tcW w:w="2920" w:type="dxa"/>
            <w:vAlign w:val="bottom"/>
          </w:tcPr>
          <w:p>
            <w:pPr>
              <w:ind w:left="60"/>
              <w:spacing w:after="0"/>
              <w:rPr>
                <w:sz w:val="20"/>
                <w:szCs w:val="20"/>
                <w:color w:val="auto"/>
              </w:rPr>
            </w:pPr>
            <w:r>
              <w:rPr>
                <w:rFonts w:ascii="Arial" w:cs="Arial" w:eastAsia="Arial" w:hAnsi="Arial"/>
                <w:sz w:val="20"/>
                <w:szCs w:val="20"/>
                <w:color w:val="auto"/>
              </w:rPr>
              <w:t>Brian J. Lynch</w:t>
            </w:r>
          </w:p>
        </w:tc>
        <w:tc>
          <w:tcPr>
            <w:tcW w:w="5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40" w:hanging="10"/>
        <w:spacing w:after="0" w:line="242" w:lineRule="auto"/>
        <w:tabs>
          <w:tab w:leader="none" w:pos="237"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Mr. Westenberger served as Interim Chief Executive Officer from January 2025 until the appointment of Douglas C. Palladini as Chief Executive Officer and President on April 3, 2025.</w:t>
      </w:r>
    </w:p>
    <w:p>
      <w:pPr>
        <w:spacing w:after="0" w:line="1" w:lineRule="exact"/>
        <w:rPr>
          <w:rFonts w:ascii="Arial" w:cs="Arial" w:eastAsia="Arial" w:hAnsi="Arial"/>
          <w:sz w:val="21"/>
          <w:szCs w:val="21"/>
          <w:color w:val="auto"/>
          <w:vertAlign w:val="superscript"/>
        </w:rPr>
      </w:pPr>
    </w:p>
    <w:p>
      <w:pPr>
        <w:ind w:left="140"/>
        <w:spacing w:after="0" w:line="231"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Ms. Peterson joined Carter’s in July 2024.</w:t>
      </w:r>
    </w:p>
    <w:p>
      <w:pPr>
        <w:ind w:left="140"/>
        <w:spacing w:after="0" w:line="21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Mr. Sagi joined Carter's in April 2024.</w:t>
      </w:r>
    </w:p>
    <w:p>
      <w:pPr>
        <w:ind w:left="140" w:right="120" w:hanging="10"/>
        <w:spacing w:after="0" w:line="227" w:lineRule="auto"/>
        <w:tabs>
          <w:tab w:leader="none" w:pos="213"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Mr. Casey retired as an officer and director of Carter’s in January 2025, and after serving in an advisory capacity from January 2025 through February 28, 2025, retired from Carter’s.</w:t>
      </w:r>
    </w:p>
    <w:p>
      <w:pPr>
        <w:spacing w:after="0" w:line="5" w:lineRule="exact"/>
        <w:rPr>
          <w:rFonts w:ascii="Arial" w:cs="Arial" w:eastAsia="Arial" w:hAnsi="Arial"/>
          <w:sz w:val="21"/>
          <w:szCs w:val="21"/>
          <w:color w:val="auto"/>
          <w:vertAlign w:val="superscript"/>
        </w:rPr>
      </w:pPr>
    </w:p>
    <w:p>
      <w:pPr>
        <w:ind w:left="140"/>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Mr. Lynch retired from Carter’s in February 2024.</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OVERVIEW OF EXECUTIVE COMPENSATION PROCESS FOR FISCAL 2024</w:t>
      </w:r>
    </w:p>
    <w:p>
      <w:pPr>
        <w:spacing w:after="0" w:line="172" w:lineRule="exact"/>
        <w:rPr>
          <w:sz w:val="20"/>
          <w:szCs w:val="20"/>
          <w:color w:val="auto"/>
        </w:rPr>
      </w:pPr>
    </w:p>
    <w:p>
      <w:pPr>
        <w:ind w:left="140" w:right="440"/>
        <w:spacing w:after="0" w:line="286" w:lineRule="auto"/>
        <w:rPr>
          <w:sz w:val="20"/>
          <w:szCs w:val="20"/>
          <w:color w:val="auto"/>
        </w:rPr>
      </w:pPr>
      <w:r>
        <w:rPr>
          <w:rFonts w:ascii="Arial" w:cs="Arial" w:eastAsia="Arial" w:hAnsi="Arial"/>
          <w:sz w:val="20"/>
          <w:szCs w:val="20"/>
          <w:color w:val="auto"/>
        </w:rPr>
        <w:t>This CD&amp;A presents information regarding the Committee’s consideration of Carter’s performance in 2024 and related compensation decisions.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Consistent with previous years, the Committee approved Carter’s compensation programs and final</w:t>
      </w:r>
    </w:p>
    <w:p>
      <w:pPr>
        <w:sectPr>
          <w:pgSz w:w="11900" w:h="16883" w:orient="portrait"/>
          <w:cols w:equalWidth="0" w:num="1">
            <w:col w:w="9340"/>
          </w:cols>
          <w:pgMar w:left="1440" w:top="104" w:right="1119" w:bottom="0" w:gutter="0" w:footer="0" w:header="0"/>
        </w:sectPr>
      </w:pPr>
    </w:p>
    <w:bookmarkStart w:id="32" w:name="page33"/>
    <w:bookmarkEnd w:id="32"/>
    <w:p>
      <w:pPr>
        <w:ind w:left="140"/>
        <w:spacing w:after="0" w:line="275" w:lineRule="auto"/>
        <w:rPr>
          <w:sz w:val="20"/>
          <w:szCs w:val="20"/>
          <w:color w:val="auto"/>
        </w:rPr>
      </w:pPr>
      <w:r>
        <w:rPr>
          <w:rFonts w:ascii="Arial" w:cs="Arial" w:eastAsia="Arial" w:hAnsi="Arial"/>
          <w:sz w:val="19"/>
          <w:szCs w:val="19"/>
          <w:color w:val="auto"/>
        </w:rPr>
        <w:t>target metrics in the first quarter of 2024, based on forecasted financial results for the fiscal year. The Committee considered various factors in determining the design of Carter’s compensation programs for 2024, including the cumulative effect of high levels of inflation and elevated interest rates on our target consumers, and initiatives intended to reduce inventory levels, improve product sell-throughs, gross profit margin, and on-time shipping performance as well as lower ocean freight rates and product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-771525</wp:posOffset>
            </wp:positionV>
            <wp:extent cx="6810375" cy="255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2556510"/>
                    </a:xfrm>
                    <a:prstGeom prst="rect">
                      <a:avLst/>
                    </a:prstGeom>
                    <a:noFill/>
                  </pic:spPr>
                </pic:pic>
              </a:graphicData>
            </a:graphic>
          </wp:anchor>
        </w:drawing>
      </w:r>
    </w:p>
    <w:p>
      <w:pPr>
        <w:spacing w:after="0" w:line="160" w:lineRule="exact"/>
        <w:rPr>
          <w:sz w:val="20"/>
          <w:szCs w:val="20"/>
          <w:color w:val="auto"/>
        </w:rPr>
      </w:pPr>
    </w:p>
    <w:p>
      <w:pPr>
        <w:ind w:left="140" w:right="80"/>
        <w:spacing w:after="0" w:line="262" w:lineRule="auto"/>
        <w:rPr>
          <w:sz w:val="20"/>
          <w:szCs w:val="20"/>
          <w:color w:val="auto"/>
        </w:rPr>
      </w:pPr>
      <w:r>
        <w:rPr>
          <w:rFonts w:ascii="Arial" w:cs="Arial" w:eastAsia="Arial" w:hAnsi="Arial"/>
          <w:sz w:val="20"/>
          <w:szCs w:val="20"/>
          <w:color w:val="auto"/>
        </w:rPr>
        <w:t>This process considered our performance during 2024, as highlighted below, and this CD&amp;A describes the Committee’s compensation decisions and determination of the the level of achievement of 2024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787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787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2024 CARTER’S PERFORMANCE HIGHLIGHTS</w:t>
      </w:r>
    </w:p>
    <w:p>
      <w:pPr>
        <w:spacing w:after="0" w:line="42" w:lineRule="exact"/>
        <w:rPr>
          <w:sz w:val="20"/>
          <w:szCs w:val="20"/>
          <w:color w:val="auto"/>
        </w:rPr>
      </w:pPr>
    </w:p>
    <w:p>
      <w:pPr>
        <w:ind w:left="140" w:right="100"/>
        <w:spacing w:after="0" w:line="264" w:lineRule="auto"/>
        <w:rPr>
          <w:sz w:val="20"/>
          <w:szCs w:val="20"/>
          <w:color w:val="auto"/>
        </w:rPr>
      </w:pPr>
      <w:r>
        <w:rPr>
          <w:rFonts w:ascii="Arial" w:cs="Arial" w:eastAsia="Arial" w:hAnsi="Arial"/>
          <w:sz w:val="19"/>
          <w:szCs w:val="19"/>
          <w:color w:val="auto"/>
        </w:rPr>
        <w:t>The following provides key erformancep highlights for 2024, which reflect the challenging macroeconomic environment for our business. Unless otherwise stated, comparisons are to fiscal2023and include both GAAP financial measures anadjusted, non-GAAP financial measurements. We believe the non-GAAP adjustments provide a meaningful comparison of the Company’s results and afford investors a view of what management considers to be the Company’s underlying performance. These measures are presented for informational pay-related purposes only. See the Appendix to this Proxy Statement for additional disclosures and reconciliations regarding these non-GAAP financial measures.</w:t>
      </w:r>
    </w:p>
    <w:p>
      <w:pPr>
        <w:sectPr>
          <w:pgSz w:w="11900" w:h="16838" w:orient="portrait"/>
          <w:cols w:equalWidth="0" w:num="1">
            <w:col w:w="9160"/>
          </w:cols>
          <w:pgMar w:left="1440" w:top="104" w:right="1299" w:bottom="1440" w:gutter="0" w:footer="0" w:header="0"/>
        </w:sectPr>
      </w:pPr>
    </w:p>
    <w:bookmarkStart w:id="33" w:name="page34"/>
    <w:bookmarkEnd w:id="33"/>
    <w:p>
      <w:pPr>
        <w:jc w:val="center"/>
        <w:ind w:right="1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791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979170"/>
                    </a:xfrm>
                    <a:prstGeom prst="rect">
                      <a:avLst/>
                    </a:prstGeom>
                    <a:noFill/>
                  </pic:spPr>
                </pic:pic>
              </a:graphicData>
            </a:graphic>
          </wp:anchor>
        </w:drawing>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19"/>
          </w:cols>
          <w:pgMar w:left="1440" w:top="971" w:right="1440"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048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504825"/>
                    </a:xfrm>
                    <a:prstGeom prst="rect">
                      <a:avLst/>
                    </a:prstGeom>
                    <a:noFill/>
                  </pic:spPr>
                </pic:pic>
              </a:graphicData>
            </a:graphic>
          </wp:anchor>
        </w:drawing>
      </w:r>
    </w:p>
    <w:p>
      <w:pPr>
        <w:sectPr>
          <w:pgSz w:w="11900" w:h="16838" w:orient="portrait"/>
          <w:cols w:equalWidth="0" w:num="1">
            <w:col w:w="9019"/>
          </w:cols>
          <w:pgMar w:left="1440" w:top="971" w:right="1440" w:bottom="1013" w:gutter="0" w:footer="0" w:header="0"/>
          <w:type w:val="continuous"/>
        </w:sectPr>
      </w:pPr>
    </w:p>
    <w:bookmarkStart w:id="34" w:name="page35"/>
    <w:bookmarkEnd w:id="34"/>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3515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83515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b w:val="1"/>
          <w:bCs w:val="1"/>
          <w:color w:val="123054"/>
        </w:rPr>
        <w:t>EXECUTIVE COMPENSATION HIGHLIGHTS FOR FISCAL2024</w:t>
      </w:r>
    </w:p>
    <w:p>
      <w:pPr>
        <w:spacing w:after="0" w:line="172" w:lineRule="exact"/>
        <w:rPr>
          <w:sz w:val="20"/>
          <w:szCs w:val="20"/>
          <w:color w:val="auto"/>
        </w:rPr>
      </w:pPr>
    </w:p>
    <w:p>
      <w:pPr>
        <w:ind w:left="140" w:right="380"/>
        <w:spacing w:after="0" w:line="271" w:lineRule="auto"/>
        <w:rPr>
          <w:sz w:val="20"/>
          <w:szCs w:val="20"/>
          <w:color w:val="auto"/>
        </w:rPr>
      </w:pPr>
      <w:r>
        <w:rPr>
          <w:rFonts w:ascii="Arial" w:cs="Arial" w:eastAsia="Arial" w:hAnsi="Arial"/>
          <w:sz w:val="20"/>
          <w:szCs w:val="20"/>
          <w:color w:val="auto"/>
        </w:rPr>
        <w:t>The Committee believes that our executive compensation program is appropriately designed to attract and retain superior executive talent and drive performance.</w:t>
      </w:r>
    </w:p>
    <w:p>
      <w:pPr>
        <w:spacing w:after="0" w:line="196" w:lineRule="exact"/>
        <w:rPr>
          <w:sz w:val="20"/>
          <w:szCs w:val="20"/>
          <w:color w:val="auto"/>
        </w:rPr>
      </w:pPr>
    </w:p>
    <w:p>
      <w:pPr>
        <w:ind w:left="140"/>
        <w:spacing w:after="0" w:line="252" w:lineRule="auto"/>
        <w:rPr>
          <w:sz w:val="20"/>
          <w:szCs w:val="20"/>
          <w:color w:val="auto"/>
        </w:rPr>
      </w:pPr>
      <w:r>
        <w:rPr>
          <w:rFonts w:ascii="Arial" w:cs="Arial" w:eastAsia="Arial" w:hAnsi="Arial"/>
          <w:sz w:val="20"/>
          <w:szCs w:val="20"/>
          <w:color w:val="auto"/>
        </w:rPr>
        <w:t>Reflective of this belief, approximately98% of the votes cast at our 2024 Annual Meeting of shareholders, were in favor of the advisory vote to approve executive compensation (“say-on-pay”). While this vote was non-binding, the Committee carefully considered the result of the say-on-pay vote in the context of our overall compensation philosophy, policies, and related decisions. After reflecting on the say-on-pay vote, the Committee decided that no changes to Carter's compensation philosophy were necessary. At the 2025 Annual Meeting, we will have an annual advisory vote to approve executive compensation (Proposal Number Two). The Committee plans to continue to consider the results from this year’s vote and future advisory votes on executive compensation.</w:t>
      </w:r>
    </w:p>
    <w:p>
      <w:pPr>
        <w:spacing w:after="0" w:line="201" w:lineRule="exact"/>
        <w:rPr>
          <w:sz w:val="20"/>
          <w:szCs w:val="20"/>
          <w:color w:val="auto"/>
        </w:rPr>
      </w:pPr>
    </w:p>
    <w:p>
      <w:pPr>
        <w:ind w:left="140" w:right="460"/>
        <w:spacing w:after="0" w:line="254" w:lineRule="auto"/>
        <w:rPr>
          <w:sz w:val="20"/>
          <w:szCs w:val="20"/>
          <w:color w:val="auto"/>
        </w:rPr>
      </w:pPr>
      <w:r>
        <w:rPr>
          <w:rFonts w:ascii="Arial" w:cs="Arial" w:eastAsia="Arial" w:hAnsi="Arial"/>
          <w:sz w:val="20"/>
          <w:szCs w:val="20"/>
          <w:color w:val="auto"/>
        </w:rPr>
        <w:t>We believe our pay for performance compensation philosophy is demonstrated by the alignment of shareholder experience and the payouts actually received by our NEOs. The annual incentive compensation paid out in 2024 was only5% of the target given that net sales and operating income thresholds were not attained and the strategic objectives (weighted at 20%) were attained at 25%. Additionally, none of the performance shares granted in 2022 eligible for vesting in 2024 were earned because performance thresholds were not attained.</w:t>
      </w:r>
    </w:p>
    <w:p>
      <w:pPr>
        <w:spacing w:after="0" w:line="200" w:lineRule="exact"/>
        <w:rPr>
          <w:sz w:val="20"/>
          <w:szCs w:val="20"/>
          <w:color w:val="auto"/>
        </w:rPr>
      </w:pPr>
    </w:p>
    <w:p>
      <w:pPr>
        <w:ind w:left="140" w:right="620"/>
        <w:spacing w:after="0" w:line="286" w:lineRule="auto"/>
        <w:rPr>
          <w:sz w:val="20"/>
          <w:szCs w:val="20"/>
          <w:color w:val="auto"/>
        </w:rPr>
      </w:pPr>
      <w:r>
        <w:rPr>
          <w:rFonts w:ascii="Arial" w:cs="Arial" w:eastAsia="Arial" w:hAnsi="Arial"/>
          <w:sz w:val="20"/>
          <w:szCs w:val="20"/>
          <w:color w:val="auto"/>
        </w:rPr>
        <w:t>As described more fully in this CD&amp;A, the Committee took the following actions, among others, with respect to fiscal2024 compensation for our NEOs:</w:t>
      </w:r>
    </w:p>
    <w:p>
      <w:pPr>
        <w:spacing w:after="0" w:line="46" w:lineRule="exact"/>
        <w:rPr>
          <w:sz w:val="20"/>
          <w:szCs w:val="20"/>
          <w:color w:val="auto"/>
        </w:rPr>
      </w:pPr>
    </w:p>
    <w:p>
      <w:pPr>
        <w:ind w:left="420" w:right="560" w:hanging="187"/>
        <w:spacing w:after="0" w:line="262" w:lineRule="auto"/>
        <w:tabs>
          <w:tab w:leader="none" w:pos="420" w:val="left"/>
        </w:tabs>
        <w:numPr>
          <w:ilvl w:val="0"/>
          <w:numId w:val="39"/>
        </w:numPr>
        <w:rPr>
          <w:rFonts w:ascii="Arial" w:cs="Arial" w:eastAsia="Arial" w:hAnsi="Arial"/>
          <w:sz w:val="20"/>
          <w:szCs w:val="20"/>
          <w:color w:val="123054"/>
        </w:rPr>
      </w:pPr>
      <w:r>
        <w:rPr>
          <w:rFonts w:ascii="Arial" w:cs="Arial" w:eastAsia="Arial" w:hAnsi="Arial"/>
          <w:sz w:val="20"/>
          <w:szCs w:val="20"/>
          <w:color w:val="auto"/>
        </w:rPr>
        <w:t>reviewed the peer group to be used by the Committee as a source of comparative compensation data for fiscal 2024, and determined that the existing group remained appropriate with no necessary adjustments;</w:t>
      </w:r>
    </w:p>
    <w:p>
      <w:pPr>
        <w:spacing w:after="0" w:line="56" w:lineRule="exact"/>
        <w:rPr>
          <w:rFonts w:ascii="Arial" w:cs="Arial" w:eastAsia="Arial" w:hAnsi="Arial"/>
          <w:sz w:val="20"/>
          <w:szCs w:val="20"/>
          <w:color w:val="123054"/>
        </w:rPr>
      </w:pPr>
    </w:p>
    <w:p>
      <w:pPr>
        <w:ind w:left="420" w:right="500" w:hanging="187"/>
        <w:spacing w:after="0" w:line="286" w:lineRule="auto"/>
        <w:tabs>
          <w:tab w:leader="none" w:pos="420" w:val="left"/>
        </w:tabs>
        <w:numPr>
          <w:ilvl w:val="0"/>
          <w:numId w:val="39"/>
        </w:numPr>
        <w:rPr>
          <w:rFonts w:ascii="Arial" w:cs="Arial" w:eastAsia="Arial" w:hAnsi="Arial"/>
          <w:sz w:val="20"/>
          <w:szCs w:val="20"/>
          <w:color w:val="123054"/>
        </w:rPr>
      </w:pPr>
      <w:r>
        <w:rPr>
          <w:rFonts w:ascii="Arial" w:cs="Arial" w:eastAsia="Arial" w:hAnsi="Arial"/>
          <w:sz w:val="20"/>
          <w:szCs w:val="20"/>
          <w:color w:val="auto"/>
        </w:rPr>
        <w:t>benchmarked compensation for all executive officers, including the NEOs, using a combination of proxy disclosures by Carter's peer group and retail industry survey data;</w:t>
      </w:r>
    </w:p>
    <w:p>
      <w:pPr>
        <w:spacing w:after="0" w:line="167" w:lineRule="exact"/>
        <w:rPr>
          <w:rFonts w:ascii="Arial" w:cs="Arial" w:eastAsia="Arial" w:hAnsi="Arial"/>
          <w:sz w:val="20"/>
          <w:szCs w:val="20"/>
          <w:color w:val="123054"/>
        </w:rPr>
      </w:pPr>
    </w:p>
    <w:p>
      <w:pPr>
        <w:ind w:left="1100" w:right="200" w:hanging="241"/>
        <w:spacing w:after="0" w:line="254" w:lineRule="auto"/>
        <w:tabs>
          <w:tab w:leader="none" w:pos="1100" w:val="left"/>
        </w:tabs>
        <w:numPr>
          <w:ilvl w:val="2"/>
          <w:numId w:val="39"/>
        </w:numPr>
        <w:rPr>
          <w:rFonts w:ascii="Arial" w:cs="Arial" w:eastAsia="Arial" w:hAnsi="Arial"/>
          <w:sz w:val="20"/>
          <w:szCs w:val="20"/>
          <w:color w:val="123054"/>
        </w:rPr>
      </w:pPr>
      <w:r>
        <w:rPr>
          <w:rFonts w:ascii="Arial" w:cs="Arial" w:eastAsia="Arial" w:hAnsi="Arial"/>
          <w:sz w:val="20"/>
          <w:szCs w:val="20"/>
          <w:color w:val="auto"/>
        </w:rPr>
        <w:t>structured annual incentive compensation for 2024 to consist of three performance metrics, weighted as follows: (1) net sales (50%); (2) operating income (with attainment to be measured based on adjusted results as reported to shareholders) (30%); and (3) strategic objectives (20%),consisting of the following: (a) improve the consumer perception of Carter's brand style and value; (b) improve U.S. Retail traffic through improved marketing effectiveness and new capabilities; and (c) demonstrate continued progress with multicultural customer acquisition;</w:t>
      </w:r>
    </w:p>
    <w:p>
      <w:pPr>
        <w:spacing w:after="0" w:line="64" w:lineRule="exact"/>
        <w:rPr>
          <w:rFonts w:ascii="Arial" w:cs="Arial" w:eastAsia="Arial" w:hAnsi="Arial"/>
          <w:sz w:val="20"/>
          <w:szCs w:val="20"/>
          <w:color w:val="123054"/>
        </w:rPr>
      </w:pPr>
    </w:p>
    <w:p>
      <w:pPr>
        <w:ind w:left="420" w:right="540" w:hanging="187"/>
        <w:spacing w:after="0" w:line="262" w:lineRule="auto"/>
        <w:tabs>
          <w:tab w:leader="none" w:pos="420" w:val="left"/>
        </w:tabs>
        <w:numPr>
          <w:ilvl w:val="0"/>
          <w:numId w:val="39"/>
        </w:numPr>
        <w:rPr>
          <w:rFonts w:ascii="Arial" w:cs="Arial" w:eastAsia="Arial" w:hAnsi="Arial"/>
          <w:sz w:val="20"/>
          <w:szCs w:val="20"/>
          <w:color w:val="123054"/>
        </w:rPr>
      </w:pPr>
      <w:r>
        <w:rPr>
          <w:rFonts w:ascii="Arial" w:cs="Arial" w:eastAsia="Arial" w:hAnsi="Arial"/>
          <w:sz w:val="20"/>
          <w:szCs w:val="20"/>
          <w:color w:val="auto"/>
        </w:rPr>
        <w:t>approved new equity awards consisting of 50% time-based restricted stock vesting annually over four years and 50% performance-based restricted stock. The2024 performance-based restricted stock awards have the following features:</w:t>
      </w:r>
    </w:p>
    <w:p>
      <w:pPr>
        <w:spacing w:after="0" w:line="70" w:lineRule="exact"/>
        <w:rPr>
          <w:rFonts w:ascii="Arial" w:cs="Arial" w:eastAsia="Arial" w:hAnsi="Arial"/>
          <w:sz w:val="20"/>
          <w:szCs w:val="20"/>
          <w:color w:val="123054"/>
        </w:rPr>
      </w:pPr>
    </w:p>
    <w:p>
      <w:pPr>
        <w:ind w:left="1020" w:right="1300" w:hanging="398"/>
        <w:spacing w:after="0" w:line="271" w:lineRule="auto"/>
        <w:tabs>
          <w:tab w:leader="none" w:pos="1020" w:val="left"/>
        </w:tabs>
        <w:numPr>
          <w:ilvl w:val="1"/>
          <w:numId w:val="39"/>
        </w:numPr>
        <w:rPr>
          <w:rFonts w:ascii="Arial" w:cs="Arial" w:eastAsia="Arial" w:hAnsi="Arial"/>
          <w:sz w:val="20"/>
          <w:szCs w:val="20"/>
          <w:color w:val="123054"/>
        </w:rPr>
      </w:pPr>
      <w:r>
        <w:rPr>
          <w:rFonts w:ascii="Arial" w:cs="Arial" w:eastAsia="Arial" w:hAnsi="Arial"/>
          <w:sz w:val="20"/>
          <w:szCs w:val="20"/>
          <w:color w:val="auto"/>
        </w:rPr>
        <w:t>three performance metrics, net sales, adjusted earnings per share (as reported to shareholders), and relative total shareholder return; and</w:t>
      </w:r>
    </w:p>
    <w:p>
      <w:pPr>
        <w:spacing w:after="0" w:line="61" w:lineRule="exact"/>
        <w:rPr>
          <w:rFonts w:ascii="Arial" w:cs="Arial" w:eastAsia="Arial" w:hAnsi="Arial"/>
          <w:sz w:val="20"/>
          <w:szCs w:val="20"/>
          <w:color w:val="123054"/>
        </w:rPr>
      </w:pPr>
    </w:p>
    <w:p>
      <w:pPr>
        <w:ind w:left="1020" w:hanging="398"/>
        <w:spacing w:after="0"/>
        <w:tabs>
          <w:tab w:leader="none" w:pos="1020" w:val="left"/>
        </w:tabs>
        <w:numPr>
          <w:ilvl w:val="1"/>
          <w:numId w:val="39"/>
        </w:numPr>
        <w:rPr>
          <w:rFonts w:ascii="Arial" w:cs="Arial" w:eastAsia="Arial" w:hAnsi="Arial"/>
          <w:sz w:val="20"/>
          <w:szCs w:val="20"/>
          <w:color w:val="123054"/>
        </w:rPr>
      </w:pPr>
      <w:r>
        <w:rPr>
          <w:rFonts w:ascii="Arial" w:cs="Arial" w:eastAsia="Arial" w:hAnsi="Arial"/>
          <w:sz w:val="20"/>
          <w:szCs w:val="20"/>
          <w:color w:val="auto"/>
        </w:rPr>
        <w:t>a three-year performance period (fiscal years 2024, 2025, and 2026).</w:t>
      </w:r>
    </w:p>
    <w:p>
      <w:pPr>
        <w:spacing w:after="0" w:line="148" w:lineRule="exact"/>
        <w:rPr>
          <w:rFonts w:ascii="Arial" w:cs="Arial" w:eastAsia="Arial" w:hAnsi="Arial"/>
          <w:sz w:val="20"/>
          <w:szCs w:val="20"/>
          <w:color w:val="123054"/>
        </w:rPr>
      </w:pPr>
    </w:p>
    <w:p>
      <w:pPr>
        <w:ind w:left="1020" w:right="240" w:hanging="398"/>
        <w:spacing w:after="0" w:line="262" w:lineRule="auto"/>
        <w:tabs>
          <w:tab w:leader="none" w:pos="1020" w:val="left"/>
        </w:tabs>
        <w:numPr>
          <w:ilvl w:val="1"/>
          <w:numId w:val="39"/>
        </w:numPr>
        <w:rPr>
          <w:rFonts w:ascii="Arial" w:cs="Arial" w:eastAsia="Arial" w:hAnsi="Arial"/>
          <w:sz w:val="20"/>
          <w:szCs w:val="20"/>
          <w:color w:val="123054"/>
        </w:rPr>
      </w:pPr>
      <w:r>
        <w:rPr>
          <w:rFonts w:ascii="Arial" w:cs="Arial" w:eastAsia="Arial" w:hAnsi="Arial"/>
          <w:sz w:val="20"/>
          <w:szCs w:val="20"/>
          <w:color w:val="auto"/>
        </w:rPr>
        <w:t>The Committee set target net sales and adjusted earnings per share2024,for as well as the target growth percentages for 2025 and 2026 that are based on actual net sales and adjusted earnings per share for2024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082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208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20" w:right="720" w:hanging="398"/>
        <w:spacing w:after="0" w:line="262" w:lineRule="auto"/>
        <w:tabs>
          <w:tab w:leader="none" w:pos="1020" w:val="left"/>
        </w:tabs>
        <w:numPr>
          <w:ilvl w:val="0"/>
          <w:numId w:val="40"/>
        </w:numPr>
        <w:rPr>
          <w:rFonts w:ascii="Arial" w:cs="Arial" w:eastAsia="Arial" w:hAnsi="Arial"/>
          <w:sz w:val="20"/>
          <w:szCs w:val="20"/>
          <w:color w:val="123054"/>
        </w:rPr>
      </w:pPr>
      <w:r>
        <w:rPr>
          <w:rFonts w:ascii="Arial" w:cs="Arial" w:eastAsia="Arial" w:hAnsi="Arial"/>
          <w:sz w:val="20"/>
          <w:szCs w:val="20"/>
          <w:color w:val="auto"/>
        </w:rPr>
        <w:t>In the first quarter of 2027, the Committee will determine the number of shares, if any, of performance-based stock that are earned under the2024 performance-based restricted stock awards.</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COMPENSATION GOVERNANCE</w:t>
      </w:r>
    </w:p>
    <w:p>
      <w:pPr>
        <w:spacing w:after="0" w:line="186" w:lineRule="exact"/>
        <w:rPr>
          <w:sz w:val="20"/>
          <w:szCs w:val="20"/>
          <w:color w:val="auto"/>
        </w:rPr>
      </w:pPr>
    </w:p>
    <w:p>
      <w:pPr>
        <w:ind w:left="140" w:right="380"/>
        <w:spacing w:after="0" w:line="259" w:lineRule="auto"/>
        <w:rPr>
          <w:sz w:val="20"/>
          <w:szCs w:val="20"/>
          <w:color w:val="auto"/>
        </w:rPr>
      </w:pPr>
      <w:r>
        <w:rPr>
          <w:rFonts w:ascii="Arial" w:cs="Arial" w:eastAsia="Arial" w:hAnsi="Arial"/>
          <w:sz w:val="20"/>
          <w:szCs w:val="20"/>
          <w:color w:val="auto"/>
        </w:rPr>
        <w:t>The Committee and the Board have established executive compensation-related policies and procedures, including those discussed below, that they believe are appropriate for Carter's and its shareholders in light of the sector in which Carter's operates, its business model, and its financial and operational performance.</w:t>
      </w:r>
    </w:p>
    <w:p>
      <w:pPr>
        <w:sectPr>
          <w:pgSz w:w="11900" w:h="16850" w:orient="portrait"/>
          <w:cols w:equalWidth="0" w:num="1">
            <w:col w:w="9420"/>
          </w:cols>
          <w:pgMar w:left="1440" w:top="273" w:right="1039" w:bottom="0" w:gutter="0" w:footer="0" w:header="0"/>
        </w:sectPr>
      </w:pPr>
    </w:p>
    <w:bookmarkStart w:id="35" w:name="page36"/>
    <w:bookmarkEnd w:id="35"/>
    <w:tbl>
      <w:tblPr>
        <w:tblLayout w:type="fixed"/>
        <w:tblInd w:w="120" w:type="dxa"/>
        <w:tblCellMar>
          <w:top w:w="0" w:type="dxa"/>
          <w:left w:w="0" w:type="dxa"/>
          <w:bottom w:w="0" w:type="dxa"/>
          <w:right w:w="0" w:type="dxa"/>
        </w:tblCellMar>
      </w:tblPr>
      <w:tr>
        <w:trPr>
          <w:trHeight w:val="283"/>
        </w:trPr>
        <w:tc>
          <w:tcPr>
            <w:tcW w:w="5660" w:type="dxa"/>
            <w:vAlign w:val="bottom"/>
            <w:shd w:val="clear" w:color="auto" w:fill="123054"/>
          </w:tcPr>
          <w:p>
            <w:pPr>
              <w:ind w:left="160"/>
              <w:spacing w:after="0"/>
              <w:rPr>
                <w:sz w:val="20"/>
                <w:szCs w:val="20"/>
                <w:color w:val="auto"/>
              </w:rPr>
            </w:pPr>
            <w:r>
              <w:rPr>
                <w:rFonts w:ascii="Arial" w:cs="Arial" w:eastAsia="Arial" w:hAnsi="Arial"/>
                <w:sz w:val="20"/>
                <w:szCs w:val="20"/>
                <w:b w:val="1"/>
                <w:bCs w:val="1"/>
                <w:color w:val="FFFFFF"/>
              </w:rPr>
              <w:t>What We Do:</w:t>
            </w:r>
          </w:p>
        </w:tc>
        <w:tc>
          <w:tcPr>
            <w:tcW w:w="120" w:type="dxa"/>
            <w:vAlign w:val="bottom"/>
            <w:shd w:val="clear" w:color="auto" w:fill="123054"/>
          </w:tcPr>
          <w:p>
            <w:pPr>
              <w:spacing w:after="0"/>
              <w:rPr>
                <w:sz w:val="24"/>
                <w:szCs w:val="24"/>
                <w:color w:val="auto"/>
              </w:rPr>
            </w:pPr>
          </w:p>
        </w:tc>
        <w:tc>
          <w:tcPr>
            <w:tcW w:w="3000" w:type="dxa"/>
            <w:vAlign w:val="bottom"/>
            <w:shd w:val="clear" w:color="auto" w:fill="123054"/>
          </w:tcPr>
          <w:p>
            <w:pPr>
              <w:ind w:left="20"/>
              <w:spacing w:after="0"/>
              <w:rPr>
                <w:sz w:val="20"/>
                <w:szCs w:val="20"/>
                <w:color w:val="auto"/>
              </w:rPr>
            </w:pPr>
            <w:r>
              <w:rPr>
                <w:rFonts w:ascii="Arial" w:cs="Arial" w:eastAsia="Arial" w:hAnsi="Arial"/>
                <w:sz w:val="20"/>
                <w:szCs w:val="20"/>
                <w:b w:val="1"/>
                <w:bCs w:val="1"/>
                <w:color w:val="FFFFFF"/>
              </w:rPr>
              <w:t>What We DoNot Do</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line="216" w:lineRule="exact"/>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b w:val="1"/>
                <w:bCs w:val="1"/>
                <w:color w:val="000000"/>
              </w:rPr>
              <w:t>Align Pay with Carter’s Performance:</w:t>
            </w:r>
            <w:r>
              <w:rPr>
                <w:rFonts w:ascii="Arial" w:cs="Arial" w:eastAsia="Arial" w:hAnsi="Arial"/>
                <w:sz w:val="20"/>
                <w:szCs w:val="20"/>
                <w:color w:val="000000"/>
              </w:rPr>
              <w:t>Asignificant</w:t>
            </w:r>
          </w:p>
        </w:tc>
        <w:tc>
          <w:tcPr>
            <w:tcW w:w="12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w:t>
            </w:r>
          </w:p>
        </w:tc>
        <w:tc>
          <w:tcPr>
            <w:tcW w:w="3000" w:type="dxa"/>
            <w:vAlign w:val="bottom"/>
          </w:tcPr>
          <w:p>
            <w:pPr>
              <w:ind w:left="240"/>
              <w:spacing w:after="0" w:line="216" w:lineRule="exact"/>
              <w:rPr>
                <w:sz w:val="20"/>
                <w:szCs w:val="20"/>
                <w:color w:val="auto"/>
              </w:rPr>
            </w:pPr>
            <w:r>
              <w:rPr>
                <w:rFonts w:ascii="Arial" w:cs="Arial" w:eastAsia="Arial" w:hAnsi="Arial"/>
                <w:sz w:val="20"/>
                <w:szCs w:val="20"/>
                <w:b w:val="1"/>
                <w:bCs w:val="1"/>
                <w:color w:val="auto"/>
                <w:w w:val="97"/>
              </w:rPr>
              <w:t>No Guaranteed Annual Salary</w:t>
            </w:r>
          </w:p>
        </w:tc>
        <w:tc>
          <w:tcPr>
            <w:tcW w:w="0" w:type="dxa"/>
            <w:vAlign w:val="bottom"/>
          </w:tcPr>
          <w:p>
            <w:pPr>
              <w:spacing w:after="0"/>
              <w:rPr>
                <w:sz w:val="1"/>
                <w:szCs w:val="1"/>
                <w:color w:val="auto"/>
              </w:rPr>
            </w:pPr>
          </w:p>
        </w:tc>
      </w:tr>
      <w:tr>
        <w:trPr>
          <w:trHeight w:val="216"/>
        </w:trPr>
        <w:tc>
          <w:tcPr>
            <w:tcW w:w="5660" w:type="dxa"/>
            <w:vAlign w:val="bottom"/>
          </w:tcPr>
          <w:p>
            <w:pPr>
              <w:ind w:left="380"/>
              <w:spacing w:after="0" w:line="216" w:lineRule="exact"/>
              <w:rPr>
                <w:sz w:val="20"/>
                <w:szCs w:val="20"/>
                <w:color w:val="auto"/>
              </w:rPr>
            </w:pPr>
            <w:r>
              <w:rPr>
                <w:rFonts w:ascii="Arial" w:cs="Arial" w:eastAsia="Arial" w:hAnsi="Arial"/>
                <w:sz w:val="20"/>
                <w:szCs w:val="20"/>
                <w:color w:val="auto"/>
              </w:rPr>
              <w:t>portion of our NEOs’ total direct compensation is linked to</w:t>
            </w:r>
          </w:p>
        </w:tc>
        <w:tc>
          <w:tcPr>
            <w:tcW w:w="120" w:type="dxa"/>
            <w:vAlign w:val="bottom"/>
          </w:tcPr>
          <w:p>
            <w:pPr>
              <w:spacing w:after="0"/>
              <w:rPr>
                <w:sz w:val="18"/>
                <w:szCs w:val="18"/>
                <w:color w:val="auto"/>
              </w:rPr>
            </w:pPr>
          </w:p>
        </w:tc>
        <w:tc>
          <w:tcPr>
            <w:tcW w:w="3000" w:type="dxa"/>
            <w:vAlign w:val="bottom"/>
          </w:tcPr>
          <w:p>
            <w:pPr>
              <w:ind w:left="240"/>
              <w:spacing w:after="0" w:line="216" w:lineRule="exact"/>
              <w:rPr>
                <w:sz w:val="20"/>
                <w:szCs w:val="20"/>
                <w:color w:val="auto"/>
              </w:rPr>
            </w:pPr>
            <w:r>
              <w:rPr>
                <w:rFonts w:ascii="Arial" w:cs="Arial" w:eastAsia="Arial" w:hAnsi="Arial"/>
                <w:sz w:val="20"/>
                <w:szCs w:val="20"/>
                <w:b w:val="1"/>
                <w:bCs w:val="1"/>
                <w:color w:val="auto"/>
              </w:rPr>
              <w:t>Increases or Guaranteed</w:t>
            </w:r>
          </w:p>
        </w:tc>
        <w:tc>
          <w:tcPr>
            <w:tcW w:w="0" w:type="dxa"/>
            <w:vAlign w:val="bottom"/>
          </w:tcPr>
          <w:p>
            <w:pPr>
              <w:spacing w:after="0"/>
              <w:rPr>
                <w:sz w:val="1"/>
                <w:szCs w:val="1"/>
                <w:color w:val="auto"/>
              </w:rPr>
            </w:pPr>
          </w:p>
        </w:tc>
      </w:tr>
      <w:tr>
        <w:trPr>
          <w:trHeight w:val="148"/>
        </w:trPr>
        <w:tc>
          <w:tcPr>
            <w:tcW w:w="5660" w:type="dxa"/>
            <w:vAlign w:val="bottom"/>
          </w:tcPr>
          <w:p>
            <w:pPr>
              <w:ind w:left="380"/>
              <w:spacing w:after="0" w:line="148" w:lineRule="exact"/>
              <w:rPr>
                <w:sz w:val="20"/>
                <w:szCs w:val="20"/>
                <w:color w:val="auto"/>
              </w:rPr>
            </w:pPr>
            <w:r>
              <w:rPr>
                <w:rFonts w:ascii="Arial" w:cs="Arial" w:eastAsia="Arial" w:hAnsi="Arial"/>
                <w:sz w:val="16"/>
                <w:szCs w:val="16"/>
                <w:color w:val="auto"/>
              </w:rPr>
              <w:t>Carter's performance in the form of annual incentive</w:t>
            </w:r>
          </w:p>
        </w:tc>
        <w:tc>
          <w:tcPr>
            <w:tcW w:w="120" w:type="dxa"/>
            <w:vAlign w:val="bottom"/>
          </w:tcPr>
          <w:p>
            <w:pPr>
              <w:spacing w:after="0"/>
              <w:rPr>
                <w:sz w:val="12"/>
                <w:szCs w:val="12"/>
                <w:color w:val="auto"/>
              </w:rPr>
            </w:pP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Bonuses</w:t>
            </w:r>
          </w:p>
        </w:tc>
        <w:tc>
          <w:tcPr>
            <w:tcW w:w="0" w:type="dxa"/>
            <w:vAlign w:val="bottom"/>
          </w:tcPr>
          <w:p>
            <w:pPr>
              <w:spacing w:after="0"/>
              <w:rPr>
                <w:sz w:val="1"/>
                <w:szCs w:val="1"/>
                <w:color w:val="auto"/>
              </w:rPr>
            </w:pPr>
          </w:p>
        </w:tc>
      </w:tr>
      <w:tr>
        <w:trPr>
          <w:trHeight w:val="155"/>
        </w:trPr>
        <w:tc>
          <w:tcPr>
            <w:tcW w:w="5660" w:type="dxa"/>
            <w:vAlign w:val="bottom"/>
            <w:vMerge w:val="restart"/>
          </w:tcPr>
          <w:p>
            <w:pPr>
              <w:ind w:left="380"/>
              <w:spacing w:after="0" w:line="189" w:lineRule="exact"/>
              <w:rPr>
                <w:sz w:val="20"/>
                <w:szCs w:val="20"/>
                <w:color w:val="auto"/>
              </w:rPr>
            </w:pPr>
            <w:r>
              <w:rPr>
                <w:rFonts w:ascii="Arial" w:cs="Arial" w:eastAsia="Arial" w:hAnsi="Arial"/>
                <w:sz w:val="20"/>
                <w:szCs w:val="20"/>
                <w:color w:val="auto"/>
              </w:rPr>
              <w:t>compensation and long-term equity compensation tied to</w:t>
            </w:r>
          </w:p>
        </w:tc>
        <w:tc>
          <w:tcPr>
            <w:tcW w:w="12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660" w:type="dxa"/>
            <w:vAlign w:val="bottom"/>
          </w:tcPr>
          <w:p>
            <w:pPr>
              <w:ind w:left="380"/>
              <w:spacing w:after="0"/>
              <w:rPr>
                <w:sz w:val="20"/>
                <w:szCs w:val="20"/>
                <w:color w:val="auto"/>
              </w:rPr>
            </w:pPr>
            <w:r>
              <w:rPr>
                <w:rFonts w:ascii="Arial" w:cs="Arial" w:eastAsia="Arial" w:hAnsi="Arial"/>
                <w:sz w:val="20"/>
                <w:szCs w:val="20"/>
                <w:color w:val="auto"/>
              </w:rPr>
              <w:t>performance criteria.</w:t>
            </w:r>
          </w:p>
        </w:tc>
        <w:tc>
          <w:tcPr>
            <w:tcW w:w="31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   No Re-Pricing of Stock Optio</w:t>
            </w:r>
          </w:p>
        </w:tc>
        <w:tc>
          <w:tcPr>
            <w:tcW w:w="0" w:type="dxa"/>
            <w:vAlign w:val="bottom"/>
          </w:tcPr>
          <w:p>
            <w:pPr>
              <w:spacing w:after="0"/>
              <w:rPr>
                <w:sz w:val="1"/>
                <w:szCs w:val="1"/>
                <w:color w:val="auto"/>
              </w:rPr>
            </w:pPr>
          </w:p>
        </w:tc>
      </w:tr>
      <w:tr>
        <w:trPr>
          <w:trHeight w:val="164"/>
        </w:trPr>
        <w:tc>
          <w:tcPr>
            <w:tcW w:w="5660" w:type="dxa"/>
            <w:vAlign w:val="bottom"/>
            <w:vMerge w:val="restart"/>
          </w:tcPr>
          <w:p>
            <w:pPr>
              <w:ind w:left="140"/>
              <w:spacing w:after="0" w:line="211" w:lineRule="exact"/>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b w:val="1"/>
                <w:bCs w:val="1"/>
                <w:color w:val="000000"/>
              </w:rPr>
              <w:t>Retain an Independent Compensation Consultant:</w:t>
            </w:r>
            <w:r>
              <w:rPr>
                <w:rFonts w:ascii="Arial" w:cs="Arial" w:eastAsia="Arial" w:hAnsi="Arial"/>
                <w:sz w:val="20"/>
                <w:szCs w:val="20"/>
                <w:color w:val="000000"/>
              </w:rPr>
              <w:t>The</w:t>
            </w:r>
          </w:p>
        </w:tc>
        <w:tc>
          <w:tcPr>
            <w:tcW w:w="3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80"/>
              <w:spacing w:after="0" w:line="189" w:lineRule="exact"/>
              <w:rPr>
                <w:sz w:val="20"/>
                <w:szCs w:val="20"/>
                <w:color w:val="auto"/>
              </w:rPr>
            </w:pPr>
            <w:r>
              <w:rPr>
                <w:rFonts w:ascii="Arial" w:cs="Arial" w:eastAsia="Arial" w:hAnsi="Arial"/>
                <w:sz w:val="20"/>
                <w:szCs w:val="20"/>
                <w:color w:val="auto"/>
                <w:w w:val="98"/>
              </w:rPr>
              <w:t>Committee retains an independent consultant to advise it on</w:t>
            </w:r>
          </w:p>
        </w:tc>
        <w:tc>
          <w:tcPr>
            <w:tcW w:w="1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w w:val="97"/>
              </w:rPr>
              <w:t>No Hedging, Pledging, or Sho</w:t>
            </w:r>
          </w:p>
        </w:tc>
        <w:tc>
          <w:tcPr>
            <w:tcW w:w="0" w:type="dxa"/>
            <w:vAlign w:val="bottom"/>
          </w:tcPr>
          <w:p>
            <w:pPr>
              <w:spacing w:after="0"/>
              <w:rPr>
                <w:sz w:val="1"/>
                <w:szCs w:val="1"/>
                <w:color w:val="auto"/>
              </w:rPr>
            </w:pPr>
          </w:p>
        </w:tc>
      </w:tr>
      <w:tr>
        <w:trPr>
          <w:trHeight w:val="175"/>
        </w:trPr>
        <w:tc>
          <w:tcPr>
            <w:tcW w:w="5660" w:type="dxa"/>
            <w:vAlign w:val="bottom"/>
          </w:tcPr>
          <w:p>
            <w:pPr>
              <w:ind w:left="380"/>
              <w:spacing w:after="0" w:line="176" w:lineRule="exact"/>
              <w:rPr>
                <w:sz w:val="20"/>
                <w:szCs w:val="20"/>
                <w:color w:val="auto"/>
              </w:rPr>
            </w:pPr>
            <w:r>
              <w:rPr>
                <w:rFonts w:ascii="Arial" w:cs="Arial" w:eastAsia="Arial" w:hAnsi="Arial"/>
                <w:sz w:val="20"/>
                <w:szCs w:val="20"/>
                <w:color w:val="auto"/>
              </w:rPr>
              <w:t>executive and director compensation matters and to help</w:t>
            </w:r>
          </w:p>
        </w:tc>
        <w:tc>
          <w:tcPr>
            <w:tcW w:w="120" w:type="dxa"/>
            <w:vAlign w:val="bottom"/>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80"/>
              <w:spacing w:after="0"/>
              <w:rPr>
                <w:sz w:val="20"/>
                <w:szCs w:val="20"/>
                <w:color w:val="auto"/>
              </w:rPr>
            </w:pPr>
            <w:r>
              <w:rPr>
                <w:rFonts w:ascii="Arial" w:cs="Arial" w:eastAsia="Arial" w:hAnsi="Arial"/>
                <w:sz w:val="20"/>
                <w:szCs w:val="20"/>
                <w:color w:val="auto"/>
              </w:rPr>
              <w:t>analyze comparative compensation data to confirm that the</w:t>
            </w:r>
          </w:p>
        </w:tc>
        <w:tc>
          <w:tcPr>
            <w:tcW w:w="12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Arial" w:cs="Arial" w:eastAsia="Arial" w:hAnsi="Arial"/>
                <w:sz w:val="20"/>
                <w:szCs w:val="20"/>
                <w:b w:val="1"/>
                <w:bCs w:val="1"/>
                <w:color w:val="auto"/>
              </w:rPr>
              <w:t>Sales of Company Stock</w:t>
            </w:r>
          </w:p>
        </w:tc>
        <w:tc>
          <w:tcPr>
            <w:tcW w:w="0" w:type="dxa"/>
            <w:vAlign w:val="bottom"/>
          </w:tcPr>
          <w:p>
            <w:pPr>
              <w:spacing w:after="0"/>
              <w:rPr>
                <w:sz w:val="1"/>
                <w:szCs w:val="1"/>
                <w:color w:val="auto"/>
              </w:rPr>
            </w:pPr>
          </w:p>
        </w:tc>
      </w:tr>
      <w:tr>
        <w:trPr>
          <w:trHeight w:val="148"/>
        </w:trPr>
        <w:tc>
          <w:tcPr>
            <w:tcW w:w="5660" w:type="dxa"/>
            <w:vAlign w:val="bottom"/>
          </w:tcPr>
          <w:p>
            <w:pPr>
              <w:ind w:left="380"/>
              <w:spacing w:after="0" w:line="148" w:lineRule="exact"/>
              <w:rPr>
                <w:sz w:val="20"/>
                <w:szCs w:val="20"/>
                <w:color w:val="auto"/>
              </w:rPr>
            </w:pPr>
            <w:r>
              <w:rPr>
                <w:rFonts w:ascii="Arial" w:cs="Arial" w:eastAsia="Arial" w:hAnsi="Arial"/>
                <w:sz w:val="16"/>
                <w:szCs w:val="16"/>
                <w:color w:val="auto"/>
              </w:rPr>
              <w:t>design and pay levels of our compensation program are</w:t>
            </w: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5660" w:type="dxa"/>
            <w:vAlign w:val="bottom"/>
          </w:tcPr>
          <w:p>
            <w:pPr>
              <w:ind w:left="380"/>
              <w:spacing w:after="0"/>
              <w:rPr>
                <w:sz w:val="20"/>
                <w:szCs w:val="20"/>
                <w:color w:val="auto"/>
              </w:rPr>
            </w:pPr>
            <w:r>
              <w:rPr>
                <w:rFonts w:ascii="Arial" w:cs="Arial" w:eastAsia="Arial" w:hAnsi="Arial"/>
                <w:sz w:val="20"/>
                <w:szCs w:val="20"/>
                <w:color w:val="auto"/>
              </w:rPr>
              <w:t>consistent with market practices.</w:t>
            </w:r>
          </w:p>
        </w:tc>
        <w:tc>
          <w:tcPr>
            <w:tcW w:w="1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No Special Perquisites</w:t>
            </w:r>
          </w:p>
        </w:tc>
        <w:tc>
          <w:tcPr>
            <w:tcW w:w="0" w:type="dxa"/>
            <w:vAlign w:val="bottom"/>
          </w:tcPr>
          <w:p>
            <w:pPr>
              <w:spacing w:after="0"/>
              <w:rPr>
                <w:sz w:val="1"/>
                <w:szCs w:val="1"/>
                <w:color w:val="auto"/>
              </w:rPr>
            </w:pPr>
          </w:p>
        </w:tc>
      </w:tr>
      <w:tr>
        <w:trPr>
          <w:trHeight w:val="108"/>
        </w:trPr>
        <w:tc>
          <w:tcPr>
            <w:tcW w:w="5660" w:type="dxa"/>
            <w:vAlign w:val="bottom"/>
            <w:vMerge w:val="restart"/>
          </w:tcPr>
          <w:p>
            <w:pPr>
              <w:ind w:left="140"/>
              <w:spacing w:after="0" w:line="205" w:lineRule="exact"/>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b w:val="1"/>
                <w:bCs w:val="1"/>
                <w:color w:val="000000"/>
              </w:rPr>
              <w:t>Utilize Stock Ownership Guidelines:</w:t>
            </w:r>
            <w:r>
              <w:rPr>
                <w:rFonts w:ascii="Arial" w:cs="Arial" w:eastAsia="Arial" w:hAnsi="Arial"/>
                <w:sz w:val="20"/>
                <w:szCs w:val="20"/>
                <w:color w:val="000000"/>
              </w:rPr>
              <w:t>We have minimum</w:t>
            </w:r>
          </w:p>
        </w:tc>
        <w:tc>
          <w:tcPr>
            <w:tcW w:w="12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Provided to Our NEOs</w:t>
            </w:r>
          </w:p>
        </w:tc>
        <w:tc>
          <w:tcPr>
            <w:tcW w:w="0" w:type="dxa"/>
            <w:vAlign w:val="bottom"/>
          </w:tcPr>
          <w:p>
            <w:pPr>
              <w:spacing w:after="0"/>
              <w:rPr>
                <w:sz w:val="1"/>
                <w:szCs w:val="1"/>
                <w:color w:val="auto"/>
              </w:rPr>
            </w:pPr>
          </w:p>
        </w:tc>
      </w:tr>
      <w:tr>
        <w:trPr>
          <w:trHeight w:val="203"/>
        </w:trPr>
        <w:tc>
          <w:tcPr>
            <w:tcW w:w="5660" w:type="dxa"/>
            <w:vAlign w:val="bottom"/>
          </w:tcPr>
          <w:p>
            <w:pPr>
              <w:ind w:left="380"/>
              <w:spacing w:after="0" w:line="203" w:lineRule="exact"/>
              <w:rPr>
                <w:sz w:val="20"/>
                <w:szCs w:val="20"/>
                <w:color w:val="auto"/>
              </w:rPr>
            </w:pPr>
            <w:r>
              <w:rPr>
                <w:rFonts w:ascii="Arial" w:cs="Arial" w:eastAsia="Arial" w:hAnsi="Arial"/>
                <w:sz w:val="20"/>
                <w:szCs w:val="20"/>
                <w:color w:val="auto"/>
              </w:rPr>
              <w:t>stock ownership guidelines for our executive officers to</w:t>
            </w:r>
          </w:p>
        </w:tc>
        <w:tc>
          <w:tcPr>
            <w:tcW w:w="120" w:type="dxa"/>
            <w:vAlign w:val="bottom"/>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380"/>
              <w:spacing w:after="0" w:line="203" w:lineRule="exact"/>
              <w:rPr>
                <w:sz w:val="20"/>
                <w:szCs w:val="20"/>
                <w:color w:val="auto"/>
              </w:rPr>
            </w:pPr>
            <w:r>
              <w:rPr>
                <w:rFonts w:ascii="Arial" w:cs="Arial" w:eastAsia="Arial" w:hAnsi="Arial"/>
                <w:sz w:val="20"/>
                <w:szCs w:val="20"/>
                <w:color w:val="auto"/>
              </w:rPr>
              <w:t>encourage them to maintain a meaningful equity interest in</w:t>
            </w:r>
          </w:p>
        </w:tc>
        <w:tc>
          <w:tcPr>
            <w:tcW w:w="1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w w:val="96"/>
              </w:rPr>
              <w:t>No Equity Grants Below 100%</w:t>
            </w:r>
          </w:p>
        </w:tc>
        <w:tc>
          <w:tcPr>
            <w:tcW w:w="0" w:type="dxa"/>
            <w:vAlign w:val="bottom"/>
          </w:tcPr>
          <w:p>
            <w:pPr>
              <w:spacing w:after="0"/>
              <w:rPr>
                <w:sz w:val="1"/>
                <w:szCs w:val="1"/>
                <w:color w:val="auto"/>
              </w:rPr>
            </w:pPr>
          </w:p>
        </w:tc>
      </w:tr>
      <w:tr>
        <w:trPr>
          <w:trHeight w:val="203"/>
        </w:trPr>
        <w:tc>
          <w:tcPr>
            <w:tcW w:w="5660" w:type="dxa"/>
            <w:vAlign w:val="bottom"/>
          </w:tcPr>
          <w:p>
            <w:pPr>
              <w:ind w:left="380"/>
              <w:spacing w:after="0" w:line="203" w:lineRule="exact"/>
              <w:rPr>
                <w:sz w:val="20"/>
                <w:szCs w:val="20"/>
                <w:color w:val="auto"/>
              </w:rPr>
            </w:pPr>
            <w:r>
              <w:rPr>
                <w:rFonts w:ascii="Arial" w:cs="Arial" w:eastAsia="Arial" w:hAnsi="Arial"/>
                <w:sz w:val="20"/>
                <w:szCs w:val="20"/>
                <w:color w:val="auto"/>
              </w:rPr>
              <w:t>Carter's in order to align their interests with those of our</w:t>
            </w:r>
          </w:p>
        </w:tc>
        <w:tc>
          <w:tcPr>
            <w:tcW w:w="12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5660" w:type="dxa"/>
            <w:vAlign w:val="bottom"/>
          </w:tcPr>
          <w:p>
            <w:pPr>
              <w:ind w:left="380"/>
              <w:spacing w:after="0"/>
              <w:rPr>
                <w:sz w:val="20"/>
                <w:szCs w:val="20"/>
                <w:color w:val="auto"/>
              </w:rPr>
            </w:pPr>
            <w:r>
              <w:rPr>
                <w:rFonts w:ascii="Arial" w:cs="Arial" w:eastAsia="Arial" w:hAnsi="Arial"/>
                <w:sz w:val="20"/>
                <w:szCs w:val="20"/>
                <w:color w:val="auto"/>
              </w:rPr>
              <w:t>shareholders.</w:t>
            </w:r>
          </w:p>
        </w:tc>
        <w:tc>
          <w:tcPr>
            <w:tcW w:w="12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Arial" w:cs="Arial" w:eastAsia="Arial" w:hAnsi="Arial"/>
                <w:sz w:val="20"/>
                <w:szCs w:val="20"/>
                <w:b w:val="1"/>
                <w:bCs w:val="1"/>
                <w:color w:val="auto"/>
              </w:rPr>
              <w:t>Fair Market Value</w:t>
            </w:r>
          </w:p>
        </w:tc>
        <w:tc>
          <w:tcPr>
            <w:tcW w:w="0" w:type="dxa"/>
            <w:vAlign w:val="bottom"/>
          </w:tcPr>
          <w:p>
            <w:pPr>
              <w:spacing w:after="0"/>
              <w:rPr>
                <w:sz w:val="1"/>
                <w:szCs w:val="1"/>
                <w:color w:val="auto"/>
              </w:rPr>
            </w:pPr>
          </w:p>
        </w:tc>
      </w:tr>
      <w:tr>
        <w:trPr>
          <w:trHeight w:val="215"/>
        </w:trPr>
        <w:tc>
          <w:tcPr>
            <w:tcW w:w="5660" w:type="dxa"/>
            <w:vAlign w:val="bottom"/>
          </w:tcPr>
          <w:p>
            <w:pPr>
              <w:ind w:left="140"/>
              <w:spacing w:after="0" w:line="215" w:lineRule="exact"/>
              <w:rPr>
                <w:sz w:val="20"/>
                <w:szCs w:val="20"/>
                <w:color w:val="auto"/>
              </w:rPr>
            </w:pPr>
            <w:r>
              <w:rPr>
                <w:rFonts w:ascii="Arial" w:cs="Arial" w:eastAsia="Arial" w:hAnsi="Arial"/>
                <w:sz w:val="20"/>
                <w:szCs w:val="20"/>
                <w:color w:val="123054"/>
              </w:rPr>
              <w:t xml:space="preserve">•  </w:t>
            </w:r>
            <w:r>
              <w:rPr>
                <w:rFonts w:ascii="Arial" w:cs="Arial" w:eastAsia="Arial" w:hAnsi="Arial"/>
                <w:sz w:val="20"/>
                <w:szCs w:val="20"/>
                <w:b w:val="1"/>
                <w:bCs w:val="1"/>
                <w:color w:val="000000"/>
              </w:rPr>
              <w:t>Utilize Equity Retention Guidelines:</w:t>
            </w:r>
            <w:r>
              <w:rPr>
                <w:rFonts w:ascii="Arial" w:cs="Arial" w:eastAsia="Arial" w:hAnsi="Arial"/>
                <w:sz w:val="20"/>
                <w:szCs w:val="20"/>
                <w:color w:val="000000"/>
              </w:rPr>
              <w:t>Our equity retention</w:t>
            </w:r>
          </w:p>
        </w:tc>
        <w:tc>
          <w:tcPr>
            <w:tcW w:w="1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30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No Annual Equity Grants or</w:t>
            </w:r>
          </w:p>
        </w:tc>
        <w:tc>
          <w:tcPr>
            <w:tcW w:w="0" w:type="dxa"/>
            <w:vAlign w:val="bottom"/>
          </w:tcPr>
          <w:p>
            <w:pPr>
              <w:spacing w:after="0"/>
              <w:rPr>
                <w:sz w:val="1"/>
                <w:szCs w:val="1"/>
                <w:color w:val="auto"/>
              </w:rPr>
            </w:pPr>
          </w:p>
        </w:tc>
      </w:tr>
      <w:tr>
        <w:trPr>
          <w:trHeight w:val="203"/>
        </w:trPr>
        <w:tc>
          <w:tcPr>
            <w:tcW w:w="5660" w:type="dxa"/>
            <w:vAlign w:val="bottom"/>
          </w:tcPr>
          <w:p>
            <w:pPr>
              <w:ind w:left="380"/>
              <w:spacing w:after="0" w:line="203" w:lineRule="exact"/>
              <w:rPr>
                <w:sz w:val="20"/>
                <w:szCs w:val="20"/>
                <w:color w:val="auto"/>
              </w:rPr>
            </w:pPr>
            <w:r>
              <w:rPr>
                <w:rFonts w:ascii="Arial" w:cs="Arial" w:eastAsia="Arial" w:hAnsi="Arial"/>
                <w:sz w:val="20"/>
                <w:szCs w:val="20"/>
                <w:color w:val="auto"/>
              </w:rPr>
              <w:t>policy for executive officers requires holding periods for</w:t>
            </w:r>
          </w:p>
        </w:tc>
        <w:tc>
          <w:tcPr>
            <w:tcW w:w="12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60" w:type="dxa"/>
            <w:vAlign w:val="bottom"/>
          </w:tcPr>
          <w:p>
            <w:pPr>
              <w:ind w:left="380"/>
              <w:spacing w:after="0" w:line="210" w:lineRule="exact"/>
              <w:rPr>
                <w:sz w:val="20"/>
                <w:szCs w:val="20"/>
                <w:color w:val="auto"/>
              </w:rPr>
            </w:pPr>
            <w:r>
              <w:rPr>
                <w:rFonts w:ascii="Arial" w:cs="Arial" w:eastAsia="Arial" w:hAnsi="Arial"/>
                <w:sz w:val="20"/>
                <w:szCs w:val="20"/>
                <w:color w:val="auto"/>
              </w:rPr>
              <w:t>time-based restricted stock and time-based stock option</w:t>
            </w:r>
          </w:p>
        </w:tc>
        <w:tc>
          <w:tcPr>
            <w:tcW w:w="120" w:type="dxa"/>
            <w:vAlign w:val="bottom"/>
          </w:tcPr>
          <w:p>
            <w:pPr>
              <w:spacing w:after="0"/>
              <w:rPr>
                <w:sz w:val="18"/>
                <w:szCs w:val="18"/>
                <w:color w:val="auto"/>
              </w:rPr>
            </w:pPr>
          </w:p>
        </w:tc>
        <w:tc>
          <w:tcPr>
            <w:tcW w:w="3000" w:type="dxa"/>
            <w:vAlign w:val="bottom"/>
          </w:tcPr>
          <w:p>
            <w:pPr>
              <w:ind w:left="240"/>
              <w:spacing w:after="0" w:line="210" w:lineRule="exact"/>
              <w:rPr>
                <w:sz w:val="20"/>
                <w:szCs w:val="20"/>
                <w:color w:val="auto"/>
              </w:rPr>
            </w:pPr>
            <w:r>
              <w:rPr>
                <w:rFonts w:ascii="Arial" w:cs="Arial" w:eastAsia="Arial" w:hAnsi="Arial"/>
                <w:sz w:val="20"/>
                <w:szCs w:val="20"/>
                <w:b w:val="1"/>
                <w:bCs w:val="1"/>
                <w:color w:val="auto"/>
                <w:w w:val="98"/>
              </w:rPr>
              <w:t>Trading During Closed Inside</w:t>
            </w:r>
          </w:p>
        </w:tc>
        <w:tc>
          <w:tcPr>
            <w:tcW w:w="0" w:type="dxa"/>
            <w:vAlign w:val="bottom"/>
          </w:tcPr>
          <w:p>
            <w:pPr>
              <w:spacing w:after="0"/>
              <w:rPr>
                <w:sz w:val="1"/>
                <w:szCs w:val="1"/>
                <w:color w:val="auto"/>
              </w:rPr>
            </w:pPr>
          </w:p>
        </w:tc>
      </w:tr>
      <w:tr>
        <w:trPr>
          <w:trHeight w:val="293"/>
        </w:trPr>
        <w:tc>
          <w:tcPr>
            <w:tcW w:w="5660" w:type="dxa"/>
            <w:vAlign w:val="bottom"/>
          </w:tcPr>
          <w:p>
            <w:pPr>
              <w:ind w:left="380"/>
              <w:spacing w:after="0"/>
              <w:rPr>
                <w:sz w:val="20"/>
                <w:szCs w:val="20"/>
                <w:color w:val="auto"/>
              </w:rPr>
            </w:pPr>
            <w:r>
              <w:rPr>
                <w:rFonts w:ascii="Arial" w:cs="Arial" w:eastAsia="Arial" w:hAnsi="Arial"/>
                <w:sz w:val="20"/>
                <w:szCs w:val="20"/>
                <w:color w:val="auto"/>
              </w:rPr>
              <w:t>grants.</w:t>
            </w:r>
          </w:p>
        </w:tc>
        <w:tc>
          <w:tcPr>
            <w:tcW w:w="12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Arial" w:cs="Arial" w:eastAsia="Arial" w:hAnsi="Arial"/>
                <w:sz w:val="20"/>
                <w:szCs w:val="20"/>
                <w:b w:val="1"/>
                <w:bCs w:val="1"/>
                <w:color w:val="auto"/>
              </w:rPr>
              <w:t>Trading Windows</w:t>
            </w:r>
          </w:p>
        </w:tc>
        <w:tc>
          <w:tcPr>
            <w:tcW w:w="0" w:type="dxa"/>
            <w:vAlign w:val="bottom"/>
          </w:tcPr>
          <w:p>
            <w:pPr>
              <w:spacing w:after="0"/>
              <w:rPr>
                <w:sz w:val="1"/>
                <w:szCs w:val="1"/>
                <w:color w:val="auto"/>
              </w:rPr>
            </w:pPr>
          </w:p>
        </w:tc>
      </w:tr>
    </w:tbl>
    <w:p>
      <w:pPr>
        <w:ind w:left="500" w:right="3320" w:hanging="249"/>
        <w:spacing w:after="0" w:line="218" w:lineRule="auto"/>
        <w:tabs>
          <w:tab w:leader="none" w:pos="500" w:val="left"/>
        </w:tabs>
        <w:numPr>
          <w:ilvl w:val="0"/>
          <w:numId w:val="41"/>
        </w:numPr>
        <w:rPr>
          <w:rFonts w:ascii="Arial" w:cs="Arial" w:eastAsia="Arial" w:hAnsi="Arial"/>
          <w:sz w:val="20"/>
          <w:szCs w:val="20"/>
          <w:color w:val="123054"/>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774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6774180"/>
                    </a:xfrm>
                    <a:prstGeom prst="rect">
                      <a:avLst/>
                    </a:prstGeom>
                    <a:noFill/>
                  </pic:spPr>
                </pic:pic>
              </a:graphicData>
            </a:graphic>
          </wp:anchor>
        </w:drawing>
        <w:t>Have Double-Trigger Cash Severance Arrangements in the Event of a Change of Control:</w:t>
      </w:r>
      <w:r>
        <w:rPr>
          <w:rFonts w:ascii="Arial" w:cs="Arial" w:eastAsia="Arial" w:hAnsi="Arial"/>
          <w:sz w:val="20"/>
          <w:szCs w:val="20"/>
          <w:color w:val="auto"/>
        </w:rPr>
        <w:t>Inthe event of a change</w:t>
      </w:r>
      <w:r>
        <w:rPr>
          <w:rFonts w:ascii="Arial" w:cs="Arial" w:eastAsia="Arial" w:hAnsi="Arial"/>
          <w:sz w:val="20"/>
          <w:szCs w:val="20"/>
          <w:b w:val="1"/>
          <w:bCs w:val="1"/>
          <w:color w:val="auto"/>
        </w:rPr>
        <w:t xml:space="preserve"> </w:t>
      </w:r>
      <w:r>
        <w:rPr>
          <w:rFonts w:ascii="Arial" w:cs="Arial" w:eastAsia="Arial" w:hAnsi="Arial"/>
          <w:sz w:val="20"/>
          <w:szCs w:val="20"/>
          <w:color w:val="auto"/>
        </w:rPr>
        <w:t>of control, our severance agreements with our NEOs provide for cash severance benefits to be paid only if there is a qualifying termination within a set period of time following the change of control.</w:t>
      </w:r>
    </w:p>
    <w:p>
      <w:pPr>
        <w:spacing w:after="0" w:line="36" w:lineRule="exact"/>
        <w:rPr>
          <w:rFonts w:ascii="Arial" w:cs="Arial" w:eastAsia="Arial" w:hAnsi="Arial"/>
          <w:sz w:val="20"/>
          <w:szCs w:val="20"/>
          <w:color w:val="123054"/>
        </w:rPr>
      </w:pPr>
    </w:p>
    <w:p>
      <w:pPr>
        <w:ind w:left="500" w:right="3240" w:hanging="249"/>
        <w:spacing w:after="0" w:line="216" w:lineRule="auto"/>
        <w:tabs>
          <w:tab w:leader="none" w:pos="500" w:val="left"/>
        </w:tabs>
        <w:numPr>
          <w:ilvl w:val="0"/>
          <w:numId w:val="41"/>
        </w:numPr>
        <w:rPr>
          <w:rFonts w:ascii="Arial" w:cs="Arial" w:eastAsia="Arial" w:hAnsi="Arial"/>
          <w:sz w:val="20"/>
          <w:szCs w:val="20"/>
          <w:color w:val="123054"/>
        </w:rPr>
      </w:pPr>
      <w:r>
        <w:rPr>
          <w:rFonts w:ascii="Arial" w:cs="Arial" w:eastAsia="Arial" w:hAnsi="Arial"/>
          <w:sz w:val="20"/>
          <w:szCs w:val="20"/>
          <w:b w:val="1"/>
          <w:bCs w:val="1"/>
          <w:color w:val="auto"/>
        </w:rPr>
        <w:t>Effective With Equity Grants in 2024, Our Equity Incentive Arrangements Included Double-Trigger Provisions and Mandatory Clawback Provision</w:t>
      </w:r>
      <w:r>
        <w:rPr>
          <w:rFonts w:ascii="Arial" w:cs="Arial" w:eastAsia="Arial" w:hAnsi="Arial"/>
          <w:sz w:val="20"/>
          <w:szCs w:val="20"/>
          <w:color w:val="auto"/>
        </w:rPr>
        <w:t>A</w:t>
      </w:r>
      <w:r>
        <w:rPr>
          <w:rFonts w:ascii="Arial" w:cs="Arial" w:eastAsia="Arial" w:hAnsi="Arial"/>
          <w:sz w:val="20"/>
          <w:szCs w:val="20"/>
          <w:b w:val="1"/>
          <w:bCs w:val="1"/>
          <w:color w:val="auto"/>
        </w:rPr>
        <w:t xml:space="preserve">s: </w:t>
      </w:r>
      <w:r>
        <w:rPr>
          <w:rFonts w:ascii="Arial" w:cs="Arial" w:eastAsia="Arial" w:hAnsi="Arial"/>
          <w:sz w:val="20"/>
          <w:szCs w:val="20"/>
          <w:color w:val="auto"/>
        </w:rPr>
        <w:t>disclosed further in this CD&amp;A, effective February 15, 2024, Carter's amended its Equity Incentive Plan to include double-trigger change of control provisions, as well as mandatory clawback provisions consistent with the requirements of Rule 10D-1 under the Securities Exchange Act of 1934, as amended (the “Exchange Act”), related NYSE listing standards, and our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6595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365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COMPENSATION STRUCTURE AND DETERMINATION</w:t>
      </w:r>
    </w:p>
    <w:p>
      <w:pPr>
        <w:spacing w:after="0" w:line="172" w:lineRule="exact"/>
        <w:rPr>
          <w:sz w:val="20"/>
          <w:szCs w:val="20"/>
          <w:color w:val="auto"/>
        </w:rPr>
      </w:pPr>
    </w:p>
    <w:p>
      <w:pPr>
        <w:ind w:left="140" w:right="40"/>
        <w:spacing w:after="0" w:line="254" w:lineRule="auto"/>
        <w:rPr>
          <w:sz w:val="20"/>
          <w:szCs w:val="20"/>
          <w:color w:val="auto"/>
        </w:rPr>
      </w:pPr>
      <w:r>
        <w:rPr>
          <w:rFonts w:ascii="Arial" w:cs="Arial" w:eastAsia="Arial" w:hAnsi="Arial"/>
          <w:sz w:val="20"/>
          <w:szCs w:val="20"/>
          <w:color w:val="auto"/>
        </w:rPr>
        <w:t>Our compensation philosophy is to set our NEOs’ total direct compensation at levels that will attract, motivate, and retain superior executive talent in a highly competitive environment. Carter’s compensation program for our NEOs is designed to support these objectives and encourage strong financial performance on an annual and long-term basis by linking a significant portion of our NEOs’ total direct compensation to Company performance in the form of annual cash incentive compensation and long-term performance-based restricted stock awards.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principal components of the compensation structure for our NEOs are:</w:t>
      </w:r>
    </w:p>
    <w:p>
      <w:pPr>
        <w:spacing w:after="0" w:line="256" w:lineRule="exact"/>
        <w:rPr>
          <w:sz w:val="20"/>
          <w:szCs w:val="20"/>
          <w:color w:val="auto"/>
        </w:rPr>
      </w:pPr>
    </w:p>
    <w:p>
      <w:pPr>
        <w:ind w:left="420" w:hanging="187"/>
        <w:spacing w:after="0"/>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 salary;</w:t>
      </w:r>
    </w:p>
    <w:p>
      <w:pPr>
        <w:spacing w:after="0" w:line="121" w:lineRule="exact"/>
        <w:rPr>
          <w:rFonts w:ascii="Arial" w:cs="Arial" w:eastAsia="Arial" w:hAnsi="Arial"/>
          <w:sz w:val="20"/>
          <w:szCs w:val="20"/>
          <w:color w:val="auto"/>
        </w:rPr>
      </w:pPr>
    </w:p>
    <w:p>
      <w:pPr>
        <w:ind w:left="420" w:hanging="187"/>
        <w:spacing w:after="0"/>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annual cash incentive compensation; and</w:t>
      </w:r>
    </w:p>
    <w:p>
      <w:pPr>
        <w:spacing w:after="0" w:line="107" w:lineRule="exact"/>
        <w:rPr>
          <w:rFonts w:ascii="Arial" w:cs="Arial" w:eastAsia="Arial" w:hAnsi="Arial"/>
          <w:sz w:val="20"/>
          <w:szCs w:val="20"/>
          <w:color w:val="auto"/>
        </w:rPr>
      </w:pPr>
    </w:p>
    <w:p>
      <w:pPr>
        <w:ind w:left="420" w:hanging="187"/>
        <w:spacing w:after="0"/>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long-term equity incentive compensation.</w:t>
      </w:r>
    </w:p>
    <w:p>
      <w:pPr>
        <w:spacing w:after="0" w:line="24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Together, we refer to these three components as “total direct compensation.”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GENERAL</w:t>
      </w:r>
    </w:p>
    <w:p>
      <w:pPr>
        <w:sectPr>
          <w:pgSz w:w="11900" w:h="16838" w:orient="portrait"/>
          <w:cols w:equalWidth="0" w:num="1">
            <w:col w:w="9120"/>
          </w:cols>
          <w:pgMar w:left="1440" w:top="207" w:right="1339" w:bottom="0" w:gutter="0" w:footer="0" w:header="0"/>
        </w:sectPr>
      </w:pPr>
    </w:p>
    <w:p>
      <w:pPr>
        <w:spacing w:after="0" w:line="6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 setting a total direct compensation target for each NEO, the Committee considers both objective and</w:t>
      </w:r>
    </w:p>
    <w:p>
      <w:pPr>
        <w:sectPr>
          <w:pgSz w:w="11900" w:h="16838" w:orient="portrait"/>
          <w:cols w:equalWidth="0" w:num="1">
            <w:col w:w="9120"/>
          </w:cols>
          <w:pgMar w:left="1440" w:top="207" w:right="1339" w:bottom="0" w:gutter="0" w:footer="0" w:header="0"/>
          <w:type w:val="continuous"/>
        </w:sectPr>
      </w:pPr>
    </w:p>
    <w:bookmarkStart w:id="36" w:name="page37"/>
    <w:bookmarkEnd w:id="36"/>
    <w:p>
      <w:pPr>
        <w:ind w:left="140" w:right="160"/>
        <w:spacing w:after="0" w:line="232" w:lineRule="auto"/>
        <w:rPr>
          <w:sz w:val="20"/>
          <w:szCs w:val="20"/>
          <w:color w:val="auto"/>
        </w:rPr>
      </w:pPr>
      <w:r>
        <w:rPr>
          <w:rFonts w:ascii="Arial" w:cs="Arial" w:eastAsia="Arial" w:hAnsi="Arial"/>
          <w:sz w:val="19"/>
          <w:szCs w:val="19"/>
          <w:color w:val="auto"/>
        </w:rPr>
        <w:t>subjective factors set forth below. The Committee also reviews total direct compensation, and its individual components, at the 25th, 50th, and 75th percentile levels paid to executives in similar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-244475</wp:posOffset>
            </wp:positionV>
            <wp:extent cx="6810375" cy="5196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5196840"/>
                    </a:xfrm>
                    <a:prstGeom prst="rect">
                      <a:avLst/>
                    </a:prstGeom>
                    <a:noFill/>
                  </pic:spPr>
                </pic:pic>
              </a:graphicData>
            </a:graphic>
          </wp:anchor>
        </w:drawing>
      </w:r>
    </w:p>
    <w:p>
      <w:pPr>
        <w:ind w:left="140" w:right="180"/>
        <w:spacing w:after="0" w:line="267" w:lineRule="auto"/>
        <w:rPr>
          <w:sz w:val="20"/>
          <w:szCs w:val="20"/>
          <w:color w:val="auto"/>
        </w:rPr>
      </w:pPr>
      <w:r>
        <w:rPr>
          <w:rFonts w:ascii="Arial" w:cs="Arial" w:eastAsia="Arial" w:hAnsi="Arial"/>
          <w:sz w:val="20"/>
          <w:szCs w:val="20"/>
          <w:color w:val="auto"/>
        </w:rPr>
        <w:t>at the companies in our peer group and, as needed, a broader retail survey, in order to assess where the compensation it sets falls relative to market practices.</w:t>
      </w:r>
    </w:p>
    <w:p>
      <w:pPr>
        <w:spacing w:after="0" w:line="51" w:lineRule="exact"/>
        <w:rPr>
          <w:sz w:val="20"/>
          <w:szCs w:val="20"/>
          <w:color w:val="auto"/>
        </w:rPr>
      </w:pPr>
    </w:p>
    <w:p>
      <w:pPr>
        <w:ind w:left="140" w:right="660"/>
        <w:spacing w:after="0" w:line="262" w:lineRule="auto"/>
        <w:rPr>
          <w:sz w:val="20"/>
          <w:szCs w:val="20"/>
          <w:color w:val="auto"/>
        </w:rPr>
      </w:pPr>
      <w:r>
        <w:rPr>
          <w:rFonts w:ascii="Arial" w:cs="Arial" w:eastAsia="Arial" w:hAnsi="Arial"/>
          <w:sz w:val="20"/>
          <w:szCs w:val="20"/>
          <w:color w:val="auto"/>
        </w:rPr>
        <w:t>These levels are selected because the Committee reviews this peer data as a reference point in determining whether the total compensation opportunity is likely to provide sufficient motivation and retention as well as whether it properly reflects the NEO’s role and scope of responsibilities.</w:t>
      </w:r>
    </w:p>
    <w:p>
      <w:pPr>
        <w:spacing w:after="0" w:line="192" w:lineRule="exact"/>
        <w:rPr>
          <w:sz w:val="20"/>
          <w:szCs w:val="20"/>
          <w:color w:val="auto"/>
        </w:rPr>
      </w:pPr>
    </w:p>
    <w:p>
      <w:pPr>
        <w:ind w:left="140" w:right="380"/>
        <w:spacing w:after="0" w:line="286" w:lineRule="auto"/>
        <w:rPr>
          <w:sz w:val="20"/>
          <w:szCs w:val="20"/>
          <w:color w:val="auto"/>
        </w:rPr>
      </w:pPr>
      <w:r>
        <w:rPr>
          <w:rFonts w:ascii="Arial" w:cs="Arial" w:eastAsia="Arial" w:hAnsi="Arial"/>
          <w:sz w:val="20"/>
          <w:szCs w:val="20"/>
          <w:color w:val="auto"/>
        </w:rPr>
        <w:t>In setting compensation of Carter's NEOs, the Committee considered multiple objective and subjective factors, including:</w:t>
      </w:r>
    </w:p>
    <w:p>
      <w:pPr>
        <w:spacing w:after="0" w:line="32" w:lineRule="exact"/>
        <w:rPr>
          <w:sz w:val="20"/>
          <w:szCs w:val="20"/>
          <w:color w:val="auto"/>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the nature and scope of each executive officer’s responsibilities;</w:t>
      </w:r>
    </w:p>
    <w:p>
      <w:pPr>
        <w:spacing w:after="0" w:line="121" w:lineRule="exact"/>
        <w:rPr>
          <w:rFonts w:ascii="Arial" w:cs="Arial" w:eastAsia="Arial" w:hAnsi="Arial"/>
          <w:sz w:val="20"/>
          <w:szCs w:val="20"/>
          <w:color w:val="123054"/>
        </w:rPr>
      </w:pPr>
    </w:p>
    <w:p>
      <w:pPr>
        <w:ind w:left="420" w:right="900" w:hanging="187"/>
        <w:spacing w:after="0" w:line="286" w:lineRule="auto"/>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comparative compensation data for executive officers in similar positions at companies in our peer group and, as needed, a broader retail survey;</w:t>
      </w:r>
    </w:p>
    <w:p>
      <w:pPr>
        <w:spacing w:after="0" w:line="32" w:lineRule="exact"/>
        <w:rPr>
          <w:rFonts w:ascii="Arial" w:cs="Arial" w:eastAsia="Arial" w:hAnsi="Arial"/>
          <w:sz w:val="20"/>
          <w:szCs w:val="20"/>
          <w:color w:val="123054"/>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each executive officer’s experience, performance, and contribution to Carter's;</w:t>
      </w:r>
    </w:p>
    <w:p>
      <w:pPr>
        <w:spacing w:after="0" w:line="107" w:lineRule="exact"/>
        <w:rPr>
          <w:rFonts w:ascii="Arial" w:cs="Arial" w:eastAsia="Arial" w:hAnsi="Arial"/>
          <w:sz w:val="20"/>
          <w:szCs w:val="20"/>
          <w:color w:val="123054"/>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Carter’s performance;</w:t>
      </w:r>
    </w:p>
    <w:p>
      <w:pPr>
        <w:spacing w:after="0" w:line="121" w:lineRule="exact"/>
        <w:rPr>
          <w:rFonts w:ascii="Arial" w:cs="Arial" w:eastAsia="Arial" w:hAnsi="Arial"/>
          <w:sz w:val="20"/>
          <w:szCs w:val="20"/>
          <w:color w:val="123054"/>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prior equity awards and potential future earnings from equity awards;</w:t>
      </w:r>
    </w:p>
    <w:p>
      <w:pPr>
        <w:spacing w:after="0" w:line="107" w:lineRule="exact"/>
        <w:rPr>
          <w:rFonts w:ascii="Arial" w:cs="Arial" w:eastAsia="Arial" w:hAnsi="Arial"/>
          <w:sz w:val="20"/>
          <w:szCs w:val="20"/>
          <w:color w:val="123054"/>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retention needs; and</w:t>
      </w:r>
    </w:p>
    <w:p>
      <w:pPr>
        <w:spacing w:after="0" w:line="121" w:lineRule="exact"/>
        <w:rPr>
          <w:rFonts w:ascii="Arial" w:cs="Arial" w:eastAsia="Arial" w:hAnsi="Arial"/>
          <w:sz w:val="20"/>
          <w:szCs w:val="20"/>
          <w:color w:val="123054"/>
        </w:rPr>
      </w:pPr>
    </w:p>
    <w:p>
      <w:pPr>
        <w:ind w:left="420" w:hanging="187"/>
        <w:spacing w:after="0"/>
        <w:tabs>
          <w:tab w:leader="none" w:pos="420" w:val="left"/>
        </w:tabs>
        <w:numPr>
          <w:ilvl w:val="0"/>
          <w:numId w:val="43"/>
        </w:numPr>
        <w:rPr>
          <w:rFonts w:ascii="Arial" w:cs="Arial" w:eastAsia="Arial" w:hAnsi="Arial"/>
          <w:sz w:val="20"/>
          <w:szCs w:val="20"/>
          <w:color w:val="123054"/>
        </w:rPr>
      </w:pPr>
      <w:r>
        <w:rPr>
          <w:rFonts w:ascii="Arial" w:cs="Arial" w:eastAsia="Arial" w:hAnsi="Arial"/>
          <w:sz w:val="20"/>
          <w:szCs w:val="20"/>
          <w:color w:val="auto"/>
        </w:rPr>
        <w:t>any other factors the Committee deems relevant.</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BASE SALARY</w:t>
      </w:r>
    </w:p>
    <w:p>
      <w:pPr>
        <w:spacing w:after="0" w:line="170" w:lineRule="exact"/>
        <w:rPr>
          <w:sz w:val="20"/>
          <w:szCs w:val="20"/>
          <w:color w:val="auto"/>
        </w:rPr>
      </w:pPr>
    </w:p>
    <w:p>
      <w:pPr>
        <w:ind w:left="140"/>
        <w:spacing w:after="0" w:line="290" w:lineRule="auto"/>
        <w:rPr>
          <w:sz w:val="20"/>
          <w:szCs w:val="20"/>
          <w:color w:val="auto"/>
        </w:rPr>
      </w:pPr>
      <w:r>
        <w:rPr>
          <w:rFonts w:ascii="Arial" w:cs="Arial" w:eastAsia="Arial" w:hAnsi="Arial"/>
          <w:sz w:val="19"/>
          <w:szCs w:val="19"/>
          <w:color w:val="auto"/>
        </w:rPr>
        <w:t>When setting base salaries for our NEOs, the Committee considers the objective and subjective factors set forth above and also reviews base salaries at the 25th, 50th, and 75th percentile levels paid to executives in similar positions at the companies in our peer group and a broader retail survey,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236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523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ANNUAL CASH INCENTIVE COMPENSATION</w:t>
      </w:r>
    </w:p>
    <w:p>
      <w:pPr>
        <w:spacing w:after="0" w:line="170" w:lineRule="exact"/>
        <w:rPr>
          <w:sz w:val="20"/>
          <w:szCs w:val="20"/>
          <w:color w:val="auto"/>
        </w:rPr>
      </w:pPr>
    </w:p>
    <w:p>
      <w:pPr>
        <w:ind w:left="140" w:right="320"/>
        <w:spacing w:after="0" w:line="267" w:lineRule="auto"/>
        <w:rPr>
          <w:sz w:val="20"/>
          <w:szCs w:val="20"/>
          <w:color w:val="auto"/>
        </w:rPr>
      </w:pPr>
      <w:r>
        <w:rPr>
          <w:rFonts w:ascii="Arial" w:cs="Arial" w:eastAsia="Arial" w:hAnsi="Arial"/>
          <w:sz w:val="19"/>
          <w:szCs w:val="19"/>
          <w:color w:val="auto"/>
        </w:rPr>
        <w:t>Carter’s makes annual cash incentive compensation (through the Carter's, Inc. Amended and Restated Annual Incentive Compensation Plan, the “Incentive Compensation Plan”) a significant component of our NEOs’ targeted total direct compensation in order to motivate our executive officers to meet and exceed Carter’s annual operating plans. For each NEO, the Committee approves target annual cash incentive compensation as a percentage of such NEO’s base salary. In establishing these annual cash incentive compensation targets, the Committee considers our NEOs’ potential total direct compensation in light of Carter’s compensation philosophy and comparative compensation data.</w:t>
      </w:r>
    </w:p>
    <w:p>
      <w:pPr>
        <w:spacing w:after="0" w:line="202" w:lineRule="exact"/>
        <w:rPr>
          <w:sz w:val="20"/>
          <w:szCs w:val="20"/>
          <w:color w:val="auto"/>
        </w:rPr>
      </w:pPr>
    </w:p>
    <w:p>
      <w:pPr>
        <w:ind w:left="140" w:right="340"/>
        <w:spacing w:after="0" w:line="252" w:lineRule="auto"/>
        <w:rPr>
          <w:sz w:val="20"/>
          <w:szCs w:val="20"/>
          <w:color w:val="auto"/>
        </w:rPr>
      </w:pPr>
      <w:r>
        <w:rPr>
          <w:rFonts w:ascii="Arial" w:cs="Arial" w:eastAsia="Arial" w:hAnsi="Arial"/>
          <w:sz w:val="20"/>
          <w:szCs w:val="20"/>
          <w:color w:val="auto"/>
        </w:rPr>
        <w:t>The Committee has the discretion to reduce or not to award annual cash incentive compensation, even if Carter’s achieves its financial performance targets, and to take into account personal performance in determining the percentage of each NEO’s annual cash incentive compensation to be paid, if any. Furthermore, the Board has adopted a clawback policy, consistent with the requirements of Rule 10D-1 under the Exchange Act and the related NYSE listing standards (referred to in this proxy statement as the “clawback policy”), that requires an executive officer (as defined in the clawback policy) to repay or return erroneously awarded compensation in the event of an accounting restatement of previously-reported financial results.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LONG-TERM EQUITY INCENTIVE COMPENSATION</w:t>
      </w:r>
    </w:p>
    <w:p>
      <w:pPr>
        <w:spacing w:after="0" w:line="170" w:lineRule="exact"/>
        <w:rPr>
          <w:sz w:val="20"/>
          <w:szCs w:val="20"/>
          <w:color w:val="auto"/>
        </w:rPr>
      </w:pPr>
    </w:p>
    <w:p>
      <w:pPr>
        <w:ind w:left="140" w:right="300"/>
        <w:spacing w:after="0" w:line="252" w:lineRule="auto"/>
        <w:rPr>
          <w:sz w:val="20"/>
          <w:szCs w:val="20"/>
          <w:color w:val="auto"/>
        </w:rPr>
      </w:pPr>
      <w:r>
        <w:rPr>
          <w:rFonts w:ascii="Arial" w:cs="Arial" w:eastAsia="Arial" w:hAnsi="Arial"/>
          <w:sz w:val="20"/>
          <w:szCs w:val="20"/>
          <w:color w:val="auto"/>
        </w:rPr>
        <w:t>The Carter’s, Inc. Amended and Restated Equity Incentive Plan “Equity(the Incentive Plan”) allows for various types of equity awards, including stock options, restricted stock (both time and performance-based), restricted stock units (structured as deferred restricted stock), stock appreciation rights, and deferred stock. Awards under our Equity Incentive Plan are granted to recruit, motivate, and retain employees and in connection with promotions or increased responsibility. Historically, the Committee has awarded a combination of time and performance-based restricted stock and time-based restricted stock units (structured as deferred restricted stock), although it may choose to use other forms of equity awards in the future.</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All awards under our Equity Incentive Plan must be approved by the Committee. The Committee</w:t>
      </w:r>
    </w:p>
    <w:p>
      <w:pPr>
        <w:sectPr>
          <w:pgSz w:w="11900" w:h="16838" w:orient="portrait"/>
          <w:cols w:equalWidth="0" w:num="1">
            <w:col w:w="9460"/>
          </w:cols>
          <w:pgMar w:left="1440" w:top="104" w:right="999" w:bottom="0" w:gutter="0" w:footer="0" w:header="0"/>
        </w:sectPr>
      </w:pPr>
    </w:p>
    <w:bookmarkStart w:id="37" w:name="page38"/>
    <w:bookmarkEnd w:id="37"/>
    <w:p>
      <w:pPr>
        <w:ind w:left="140" w:right="420"/>
        <w:spacing w:after="0"/>
        <w:rPr>
          <w:sz w:val="20"/>
          <w:szCs w:val="20"/>
          <w:color w:val="auto"/>
        </w:rPr>
      </w:pPr>
      <w:r>
        <w:rPr>
          <w:rFonts w:ascii="Arial" w:cs="Arial" w:eastAsia="Arial" w:hAnsi="Arial"/>
          <w:sz w:val="19"/>
          <w:szCs w:val="19"/>
          <w:color w:val="auto"/>
        </w:rPr>
        <w:t>determines the type, timing, and amount of equity awards granted to each of our NEOs after considering their previous equity awards, base salary, and target annual 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-254000</wp:posOffset>
            </wp:positionV>
            <wp:extent cx="6810375" cy="3619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3619500"/>
                    </a:xfrm>
                    <a:prstGeom prst="rect">
                      <a:avLst/>
                    </a:prstGeom>
                    <a:noFill/>
                  </pic:spPr>
                </pic:pic>
              </a:graphicData>
            </a:graphic>
          </wp:anchor>
        </w:drawing>
      </w:r>
    </w:p>
    <w:p>
      <w:pPr>
        <w:ind w:left="140" w:right="440"/>
        <w:spacing w:after="0" w:line="253" w:lineRule="auto"/>
        <w:rPr>
          <w:sz w:val="20"/>
          <w:szCs w:val="20"/>
          <w:color w:val="auto"/>
        </w:rPr>
      </w:pPr>
      <w:r>
        <w:rPr>
          <w:rFonts w:ascii="Arial" w:cs="Arial" w:eastAsia="Arial" w:hAnsi="Arial"/>
          <w:sz w:val="20"/>
          <w:szCs w:val="20"/>
          <w:color w:val="auto"/>
        </w:rPr>
        <w:t>in light of Carter’s compensation philosophy. The Committee also considers the comparative compensation data in our peer group and, as needed, a broader retail survey, and our desire to retain and motivate our NEOs and to align their goals with the long-term goals of our shareholders.</w:t>
      </w:r>
    </w:p>
    <w:p>
      <w:pPr>
        <w:spacing w:after="0" w:line="213" w:lineRule="exact"/>
        <w:rPr>
          <w:sz w:val="20"/>
          <w:szCs w:val="20"/>
          <w:color w:val="auto"/>
        </w:rPr>
      </w:pPr>
    </w:p>
    <w:p>
      <w:pPr>
        <w:ind w:left="140" w:right="180"/>
        <w:spacing w:after="0" w:line="250" w:lineRule="auto"/>
        <w:rPr>
          <w:sz w:val="20"/>
          <w:szCs w:val="20"/>
          <w:color w:val="auto"/>
        </w:rPr>
      </w:pPr>
      <w:r>
        <w:rPr>
          <w:rFonts w:ascii="Arial" w:cs="Arial" w:eastAsia="Arial" w:hAnsi="Arial"/>
          <w:sz w:val="20"/>
          <w:szCs w:val="20"/>
          <w:color w:val="auto"/>
        </w:rPr>
        <w:t>The Committee’s practice is toapprove equity grants at regularly scheduled meetings, but may also make equity grants at special meetings or by unanimous written consent, and could select a date subsequent to a regularly scheduled meeting on which to grant equity awardsThe. Committeedoes not take into account material non-public informationwhen determining the timing or terms of equity awards, nor does Carter's time disclosure of material non-public informationfor the purpose of affecting the value of executive compensationDuring. fiscal 2024, the Company did not grant stock options (or similar awards) to any executive officer during any period beginning four business days before and ending one business day after the filing of any periodic report on Form 10-Q or Form 10-K, or the filing or furnishing of any current report on Form 8-K that disclosed material non-public information. More broadly, the Company has not awarded stock options (or similar awards) since fiscal 2018.</w:t>
      </w:r>
    </w:p>
    <w:p>
      <w:pPr>
        <w:spacing w:after="0" w:line="223" w:lineRule="exact"/>
        <w:rPr>
          <w:sz w:val="20"/>
          <w:szCs w:val="20"/>
          <w:color w:val="auto"/>
        </w:rPr>
      </w:pPr>
    </w:p>
    <w:p>
      <w:pPr>
        <w:ind w:left="140" w:right="260"/>
        <w:spacing w:after="0" w:line="286" w:lineRule="auto"/>
        <w:rPr>
          <w:sz w:val="20"/>
          <w:szCs w:val="20"/>
          <w:color w:val="auto"/>
        </w:rPr>
      </w:pPr>
      <w:r>
        <w:rPr>
          <w:rFonts w:ascii="Arial" w:cs="Arial" w:eastAsia="Arial" w:hAnsi="Arial"/>
          <w:sz w:val="20"/>
          <w:szCs w:val="20"/>
          <w:color w:val="auto"/>
        </w:rPr>
        <w:t>In considering the value of equity awards, we calculate the value of time-based and performance-based restricted stock awards using the closing price of our common stock on the date of grant.</w:t>
      </w:r>
    </w:p>
    <w:p>
      <w:pPr>
        <w:spacing w:after="0" w:line="200" w:lineRule="exact"/>
        <w:rPr>
          <w:sz w:val="20"/>
          <w:szCs w:val="20"/>
          <w:color w:val="auto"/>
        </w:rPr>
      </w:pPr>
    </w:p>
    <w:p>
      <w:pPr>
        <w:spacing w:after="0" w:line="28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814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681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right="160"/>
        <w:spacing w:after="0" w:line="252" w:lineRule="auto"/>
        <w:rPr>
          <w:sz w:val="20"/>
          <w:szCs w:val="20"/>
          <w:color w:val="auto"/>
        </w:rPr>
      </w:pPr>
      <w:r>
        <w:rPr>
          <w:rFonts w:ascii="Arial" w:cs="Arial" w:eastAsia="Arial" w:hAnsi="Arial"/>
          <w:sz w:val="20"/>
          <w:szCs w:val="20"/>
          <w:color w:val="auto"/>
        </w:rPr>
        <w:t>Effective February 15, 2024, Carter's amended its Equity Incentive Plan to include double-trigger change of control provisions to more closely-align Carter's pay practices with market practice. Effective with equity award grants in fiscal 2024, the vesting of the awards will be accelerated if either (1) the surviving entity does not provide replacement awards that meet criteria as set forth in the amended Equity Plan or, if applicable, the award agreement (referred to as “qualifying replacement awards”), or (2) the surviving entity provides qualifying replacement awards, but there is a termination of employment for cause or resignation for good reason (as defined in the amended Equity Incentive Plan) within two years after the change in control.</w:t>
      </w:r>
    </w:p>
    <w:p>
      <w:pPr>
        <w:spacing w:after="0" w:line="107"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In addition, the Equity Incentive Plan was amended to include mandatory clawback provisions consistent with the requirements of Rule 10D-1 under the Exchange Act, related NYSE listing standards, and Carter’s clawback policy. Under the amended Equity Incentive Plan, and consistent with Carter’s clawback policy, the executive is required to repay or return erroneously awarded compensation in the event of an accounting restatement of previously-reported financial results. No other changes were made to the Equity Incentive Plan, including to the maximum number of shares that may be delivered under the Equity Incentive Plan.</w:t>
      </w:r>
    </w:p>
    <w:p>
      <w:pPr>
        <w:spacing w:after="0" w:line="98" w:lineRule="exact"/>
        <w:rPr>
          <w:sz w:val="20"/>
          <w:szCs w:val="20"/>
          <w:color w:val="auto"/>
        </w:rPr>
      </w:pPr>
    </w:p>
    <w:p>
      <w:pPr>
        <w:ind w:left="140" w:right="660"/>
        <w:spacing w:after="0" w:line="247" w:lineRule="auto"/>
        <w:rPr>
          <w:sz w:val="20"/>
          <w:szCs w:val="20"/>
          <w:color w:val="auto"/>
        </w:rPr>
      </w:pPr>
      <w:r>
        <w:rPr>
          <w:rFonts w:ascii="Arial" w:cs="Arial" w:eastAsia="Arial" w:hAnsi="Arial"/>
          <w:sz w:val="22"/>
          <w:szCs w:val="22"/>
          <w:b w:val="1"/>
          <w:bCs w:val="1"/>
          <w:color w:val="123054"/>
        </w:rPr>
        <w:t>ROLE OF THE COMPENSATION AND HUMAN CAPITAL COMMITTEE, INDEPENDENT CONSULTANT, AND MANAGEMENT</w:t>
      </w:r>
    </w:p>
    <w:p>
      <w:pPr>
        <w:spacing w:after="0" w:line="121" w:lineRule="exact"/>
        <w:rPr>
          <w:sz w:val="20"/>
          <w:szCs w:val="20"/>
          <w:color w:val="auto"/>
        </w:rPr>
      </w:pPr>
    </w:p>
    <w:p>
      <w:pPr>
        <w:jc w:val="both"/>
        <w:ind w:left="140" w:right="540"/>
        <w:spacing w:after="0" w:line="262" w:lineRule="auto"/>
        <w:rPr>
          <w:sz w:val="20"/>
          <w:szCs w:val="20"/>
          <w:color w:val="auto"/>
        </w:rPr>
      </w:pPr>
      <w:r>
        <w:rPr>
          <w:rFonts w:ascii="Arial" w:cs="Arial" w:eastAsia="Arial" w:hAnsi="Arial"/>
          <w:sz w:val="20"/>
          <w:szCs w:val="20"/>
          <w:color w:val="auto"/>
        </w:rPr>
        <w:t>The Committee sets the total direct compensation of our NEOs, as well as the financial performance targets for our NEOs’ annual cash incentive compensation and vesting terms for their equity awards, including performance-based awards.</w:t>
      </w:r>
    </w:p>
    <w:p>
      <w:pPr>
        <w:spacing w:after="0" w:line="205" w:lineRule="exact"/>
        <w:rPr>
          <w:sz w:val="20"/>
          <w:szCs w:val="20"/>
          <w:color w:val="auto"/>
        </w:rPr>
      </w:pPr>
    </w:p>
    <w:p>
      <w:pPr>
        <w:ind w:left="140" w:right="660"/>
        <w:spacing w:after="0" w:line="313" w:lineRule="auto"/>
        <w:rPr>
          <w:sz w:val="20"/>
          <w:szCs w:val="20"/>
          <w:color w:val="auto"/>
        </w:rPr>
      </w:pPr>
      <w:r>
        <w:rPr>
          <w:rFonts w:ascii="Arial" w:cs="Arial" w:eastAsia="Arial" w:hAnsi="Arial"/>
          <w:sz w:val="19"/>
          <w:szCs w:val="19"/>
          <w:color w:val="auto"/>
        </w:rPr>
        <w:t>For fiscal2024, the Committee engaged Meridian Compensation Partners, LLC, an independent compensation consultant (“Meridian”), to advise it on executive and director compensation matters.</w:t>
      </w:r>
    </w:p>
    <w:p>
      <w:pPr>
        <w:spacing w:after="0" w:line="159" w:lineRule="exact"/>
        <w:rPr>
          <w:sz w:val="20"/>
          <w:szCs w:val="20"/>
          <w:color w:val="auto"/>
        </w:rPr>
      </w:pPr>
    </w:p>
    <w:p>
      <w:pPr>
        <w:ind w:left="140" w:right="380"/>
        <w:spacing w:after="0" w:line="298" w:lineRule="auto"/>
        <w:rPr>
          <w:sz w:val="20"/>
          <w:szCs w:val="20"/>
          <w:color w:val="auto"/>
        </w:rPr>
      </w:pPr>
      <w:r>
        <w:rPr>
          <w:rFonts w:ascii="Arial" w:cs="Arial" w:eastAsia="Arial" w:hAnsi="Arial"/>
          <w:sz w:val="19"/>
          <w:szCs w:val="19"/>
          <w:color w:val="auto"/>
        </w:rPr>
        <w:t>Meridian informs the Committee on market trends, as well as regulatory issues and developments and how they may impact Carter’s executive compensation program. Among other things, Meridian also:</w:t>
      </w:r>
    </w:p>
    <w:p>
      <w:pPr>
        <w:spacing w:after="0" w:line="38" w:lineRule="exact"/>
        <w:rPr>
          <w:sz w:val="20"/>
          <w:szCs w:val="20"/>
          <w:color w:val="auto"/>
        </w:rPr>
      </w:pPr>
    </w:p>
    <w:p>
      <w:pPr>
        <w:ind w:left="420" w:right="1320" w:hanging="187"/>
        <w:spacing w:after="0" w:line="271" w:lineRule="auto"/>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participates in the design of the executive compensation program to help the Committee evaluate the linkage between pay and performance;</w:t>
      </w:r>
    </w:p>
    <w:p>
      <w:pPr>
        <w:spacing w:after="0" w:line="61" w:lineRule="exact"/>
        <w:rPr>
          <w:rFonts w:ascii="Arial" w:cs="Arial" w:eastAsia="Arial" w:hAnsi="Arial"/>
          <w:sz w:val="20"/>
          <w:szCs w:val="20"/>
          <w:color w:val="auto"/>
        </w:rPr>
      </w:pPr>
    </w:p>
    <w:p>
      <w:pPr>
        <w:ind w:left="420" w:right="420" w:hanging="187"/>
        <w:spacing w:after="0" w:line="271" w:lineRule="auto"/>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reviews market data and advises the Committee regarding the compensation of Carter’s executive officers; and</w:t>
      </w:r>
    </w:p>
    <w:p>
      <w:pPr>
        <w:spacing w:after="0" w:line="61" w:lineRule="exact"/>
        <w:rPr>
          <w:rFonts w:ascii="Arial" w:cs="Arial" w:eastAsia="Arial" w:hAnsi="Arial"/>
          <w:sz w:val="20"/>
          <w:szCs w:val="20"/>
          <w:color w:val="auto"/>
        </w:rPr>
      </w:pPr>
    </w:p>
    <w:p>
      <w:pPr>
        <w:ind w:left="420" w:hanging="187"/>
        <w:spacing w:after="0"/>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reviews and advises the Committee regarding director compensation.</w:t>
      </w:r>
    </w:p>
    <w:p>
      <w:pPr>
        <w:spacing w:after="0" w:line="256" w:lineRule="exact"/>
        <w:rPr>
          <w:sz w:val="20"/>
          <w:szCs w:val="20"/>
          <w:color w:val="auto"/>
        </w:rPr>
      </w:pPr>
    </w:p>
    <w:p>
      <w:pPr>
        <w:ind w:left="140" w:right="160"/>
        <w:spacing w:after="0" w:line="271" w:lineRule="auto"/>
        <w:rPr>
          <w:sz w:val="20"/>
          <w:szCs w:val="20"/>
          <w:color w:val="auto"/>
        </w:rPr>
      </w:pPr>
      <w:r>
        <w:rPr>
          <w:rFonts w:ascii="Arial" w:cs="Arial" w:eastAsia="Arial" w:hAnsi="Arial"/>
          <w:sz w:val="19"/>
          <w:szCs w:val="19"/>
          <w:color w:val="auto"/>
        </w:rPr>
        <w:t>Meridian serves at the discretion of the Committee and regularly attends executive sessions with the Committee at which management is not present. At the direction of the Committee, our Chief Executive Officer works with Meridian to review comparative compensation data and makes recommendations for base salary, annual cash incentive compensation, and long-term equity incentive compensation for our NEOs, other than himself. Compensation for our Chief Executive Officer is set by the Committee, without</w:t>
      </w:r>
    </w:p>
    <w:p>
      <w:pPr>
        <w:sectPr>
          <w:pgSz w:w="11900" w:h="16838" w:orient="portrait"/>
          <w:cols w:equalWidth="0" w:num="1">
            <w:col w:w="9440"/>
          </w:cols>
          <w:pgMar w:left="1440" w:top="104" w:right="1019" w:bottom="0" w:gutter="0" w:footer="0" w:header="0"/>
        </w:sectPr>
      </w:pPr>
    </w:p>
    <w:bookmarkStart w:id="38" w:name="page39"/>
    <w:bookmarkEnd w:id="38"/>
    <w:p>
      <w:pPr>
        <w:ind w:left="140"/>
        <w:spacing w:after="0"/>
        <w:rPr>
          <w:sz w:val="20"/>
          <w:szCs w:val="20"/>
          <w:color w:val="auto"/>
        </w:rPr>
      </w:pPr>
      <w:r>
        <w:rPr>
          <w:rFonts w:ascii="Arial" w:cs="Arial" w:eastAsia="Arial" w:hAnsi="Arial"/>
          <w:sz w:val="18"/>
          <w:szCs w:val="18"/>
          <w:color w:val="auto"/>
        </w:rPr>
        <w:t>any</w:t>
      </w:r>
      <w:r>
        <w:rPr>
          <w:rFonts w:ascii="Arial" w:cs="Arial" w:eastAsia="Arial" w:hAnsi="Arial"/>
          <w:sz w:val="35"/>
          <w:szCs w:val="35"/>
          <w:color w:val="auto"/>
          <w:vertAlign w:val="subscript"/>
        </w:rPr>
        <w:t>Committee</w:t>
      </w:r>
      <w:r>
        <w:rPr>
          <w:rFonts w:ascii="Arial" w:cs="Arial" w:eastAsia="Arial" w:hAnsi="Arial"/>
          <w:sz w:val="18"/>
          <w:szCs w:val="18"/>
          <w:color w:val="auto"/>
        </w:rPr>
        <w:t>involvement</w:t>
      </w:r>
      <w:r>
        <w:rPr>
          <w:rFonts w:ascii="Arial" w:cs="Arial" w:eastAsia="Arial" w:hAnsi="Arial"/>
          <w:sz w:val="35"/>
          <w:szCs w:val="35"/>
          <w:color w:val="auto"/>
          <w:vertAlign w:val="subscript"/>
        </w:rPr>
        <w:t>.</w:t>
      </w:r>
      <w:r>
        <w:rPr>
          <w:rFonts w:ascii="Arial" w:cs="Arial" w:eastAsia="Arial" w:hAnsi="Arial"/>
          <w:sz w:val="18"/>
          <w:szCs w:val="18"/>
          <w:color w:val="auto"/>
        </w:rPr>
        <w:t xml:space="preserve"> by the Chief Executive Officer and reflecting feedback provided by Meridian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-165735</wp:posOffset>
            </wp:positionV>
            <wp:extent cx="6810375" cy="2042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2042160"/>
                    </a:xfrm>
                    <a:prstGeom prst="rect">
                      <a:avLst/>
                    </a:prstGeom>
                    <a:noFill/>
                  </pic:spPr>
                </pic:pic>
              </a:graphicData>
            </a:graphic>
          </wp:anchor>
        </w:drawing>
      </w:r>
    </w:p>
    <w:p>
      <w:pPr>
        <w:spacing w:after="0" w:line="222" w:lineRule="exact"/>
        <w:rPr>
          <w:sz w:val="20"/>
          <w:szCs w:val="20"/>
          <w:color w:val="auto"/>
        </w:rPr>
      </w:pPr>
    </w:p>
    <w:p>
      <w:pPr>
        <w:jc w:val="both"/>
        <w:ind w:left="140" w:right="540"/>
        <w:spacing w:after="0" w:line="262" w:lineRule="auto"/>
        <w:rPr>
          <w:sz w:val="20"/>
          <w:szCs w:val="20"/>
          <w:color w:val="auto"/>
        </w:rPr>
      </w:pPr>
      <w:r>
        <w:rPr>
          <w:rFonts w:ascii="Arial" w:cs="Arial" w:eastAsia="Arial" w:hAnsi="Arial"/>
          <w:sz w:val="20"/>
          <w:szCs w:val="20"/>
          <w:color w:val="auto"/>
        </w:rPr>
        <w:t>The Committee has assessed the independence of Meridian pursuant to applicable NYSE and SEC rules and has determined that it is independent, and the work provided by it did not raise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391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839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PEER GROUP ANALYSIS AND RETAIL SURVEY</w:t>
      </w:r>
    </w:p>
    <w:p>
      <w:pPr>
        <w:spacing w:after="0" w:line="172" w:lineRule="exact"/>
        <w:rPr>
          <w:sz w:val="20"/>
          <w:szCs w:val="20"/>
          <w:color w:val="auto"/>
        </w:rPr>
      </w:pPr>
    </w:p>
    <w:p>
      <w:pPr>
        <w:jc w:val="both"/>
        <w:ind w:left="140" w:right="500"/>
        <w:spacing w:after="0" w:line="262" w:lineRule="auto"/>
        <w:rPr>
          <w:sz w:val="20"/>
          <w:szCs w:val="20"/>
          <w:color w:val="auto"/>
        </w:rPr>
      </w:pPr>
      <w:r>
        <w:rPr>
          <w:rFonts w:ascii="Arial" w:cs="Arial" w:eastAsia="Arial" w:hAnsi="Arial"/>
          <w:sz w:val="20"/>
          <w:szCs w:val="20"/>
          <w:color w:val="auto"/>
        </w:rPr>
        <w:t>To assess the market competitiveness of our NEOs’ compensation, the Committee and management review data provided by Meridian from two sources: our peer group and, as needed, a broader retail survey.</w:t>
      </w:r>
    </w:p>
    <w:p>
      <w:pPr>
        <w:spacing w:after="0" w:line="205" w:lineRule="exact"/>
        <w:rPr>
          <w:sz w:val="20"/>
          <w:szCs w:val="20"/>
          <w:color w:val="auto"/>
        </w:rPr>
      </w:pPr>
    </w:p>
    <w:p>
      <w:pPr>
        <w:jc w:val="both"/>
        <w:ind w:left="140" w:right="420"/>
        <w:spacing w:after="0" w:line="259" w:lineRule="auto"/>
        <w:rPr>
          <w:sz w:val="20"/>
          <w:szCs w:val="20"/>
          <w:color w:val="auto"/>
        </w:rPr>
      </w:pPr>
      <w:r>
        <w:rPr>
          <w:rFonts w:ascii="Arial" w:cs="Arial" w:eastAsia="Arial" w:hAnsi="Arial"/>
          <w:sz w:val="20"/>
          <w:szCs w:val="20"/>
          <w:color w:val="auto"/>
        </w:rPr>
        <w:t>The Committee has established a peer group, which is generally comprised of companies in the retail or wholesale sectors which primarily conduct business in apparel or related accessories, sell products under multiple brands through retail stores and online, and have net sales generally between one-half and two times Carter's net sales.</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setting fiscal2024 compensation, our peer group was comprised of the following fifteen companies:</w:t>
      </w:r>
    </w:p>
    <w:p>
      <w:pPr>
        <w:spacing w:after="0" w:line="310" w:lineRule="exact"/>
        <w:rPr>
          <w:sz w:val="20"/>
          <w:szCs w:val="20"/>
          <w:color w:val="auto"/>
        </w:rPr>
      </w:pPr>
    </w:p>
    <w:tbl>
      <w:tblPr>
        <w:tblLayout w:type="fixed"/>
        <w:tblInd w:w="1500" w:type="dxa"/>
        <w:tblCellMar>
          <w:top w:w="0" w:type="dxa"/>
          <w:left w:w="0" w:type="dxa"/>
          <w:bottom w:w="0" w:type="dxa"/>
          <w:right w:w="0" w:type="dxa"/>
        </w:tblCellMar>
      </w:tblPr>
      <w:tr>
        <w:trPr>
          <w:trHeight w:val="261"/>
        </w:trPr>
        <w:tc>
          <w:tcPr>
            <w:tcW w:w="3220" w:type="dxa"/>
            <w:vAlign w:val="bottom"/>
          </w:tcPr>
          <w:p>
            <w:pPr>
              <w:jc w:val="center"/>
              <w:ind w:right="341"/>
              <w:spacing w:after="0"/>
              <w:rPr>
                <w:sz w:val="20"/>
                <w:szCs w:val="20"/>
                <w:color w:val="auto"/>
              </w:rPr>
            </w:pPr>
            <w:r>
              <w:rPr>
                <w:rFonts w:ascii="Arial" w:cs="Arial" w:eastAsia="Arial" w:hAnsi="Arial"/>
                <w:sz w:val="20"/>
                <w:szCs w:val="20"/>
                <w:color w:val="auto"/>
                <w:w w:val="98"/>
              </w:rPr>
              <w:t>Abercrombie &amp; Fitch Co.</w:t>
            </w:r>
          </w:p>
        </w:tc>
        <w:tc>
          <w:tcPr>
            <w:tcW w:w="2420" w:type="dxa"/>
            <w:vAlign w:val="bottom"/>
          </w:tcPr>
          <w:p>
            <w:pPr>
              <w:jc w:val="center"/>
              <w:ind w:left="281"/>
              <w:spacing w:after="0"/>
              <w:rPr>
                <w:sz w:val="20"/>
                <w:szCs w:val="20"/>
                <w:color w:val="auto"/>
              </w:rPr>
            </w:pPr>
            <w:r>
              <w:rPr>
                <w:rFonts w:ascii="Arial" w:cs="Arial" w:eastAsia="Arial" w:hAnsi="Arial"/>
                <w:sz w:val="20"/>
                <w:szCs w:val="20"/>
                <w:color w:val="auto"/>
                <w:w w:val="98"/>
              </w:rPr>
              <w:t>Kontoor Brands, Inc.</w:t>
            </w:r>
          </w:p>
        </w:tc>
      </w:tr>
      <w:tr>
        <w:trPr>
          <w:trHeight w:val="283"/>
        </w:trPr>
        <w:tc>
          <w:tcPr>
            <w:tcW w:w="3220" w:type="dxa"/>
            <w:vAlign w:val="bottom"/>
          </w:tcPr>
          <w:p>
            <w:pPr>
              <w:jc w:val="center"/>
              <w:ind w:right="321"/>
              <w:spacing w:after="0"/>
              <w:rPr>
                <w:sz w:val="20"/>
                <w:szCs w:val="20"/>
                <w:color w:val="auto"/>
              </w:rPr>
            </w:pPr>
            <w:r>
              <w:rPr>
                <w:rFonts w:ascii="Arial" w:cs="Arial" w:eastAsia="Arial" w:hAnsi="Arial"/>
                <w:sz w:val="20"/>
                <w:szCs w:val="20"/>
                <w:color w:val="auto"/>
                <w:w w:val="98"/>
              </w:rPr>
              <w:t>American Eagle Outfitters, Inc.</w:t>
            </w:r>
          </w:p>
        </w:tc>
        <w:tc>
          <w:tcPr>
            <w:tcW w:w="2420" w:type="dxa"/>
            <w:vAlign w:val="bottom"/>
          </w:tcPr>
          <w:p>
            <w:pPr>
              <w:jc w:val="center"/>
              <w:ind w:left="361"/>
              <w:spacing w:after="0"/>
              <w:rPr>
                <w:sz w:val="20"/>
                <w:szCs w:val="20"/>
                <w:color w:val="auto"/>
              </w:rPr>
            </w:pPr>
            <w:r>
              <w:rPr>
                <w:rFonts w:ascii="Arial" w:cs="Arial" w:eastAsia="Arial" w:hAnsi="Arial"/>
                <w:sz w:val="20"/>
                <w:szCs w:val="20"/>
                <w:color w:val="auto"/>
                <w:w w:val="98"/>
              </w:rPr>
              <w:t>Levi Strauss &amp; Co.</w:t>
            </w:r>
          </w:p>
        </w:tc>
      </w:tr>
      <w:tr>
        <w:trPr>
          <w:trHeight w:val="283"/>
        </w:trPr>
        <w:tc>
          <w:tcPr>
            <w:tcW w:w="3220" w:type="dxa"/>
            <w:vAlign w:val="bottom"/>
          </w:tcPr>
          <w:p>
            <w:pPr>
              <w:jc w:val="center"/>
              <w:ind w:right="321"/>
              <w:spacing w:after="0"/>
              <w:rPr>
                <w:sz w:val="20"/>
                <w:szCs w:val="20"/>
                <w:color w:val="auto"/>
              </w:rPr>
            </w:pPr>
            <w:r>
              <w:rPr>
                <w:rFonts w:ascii="Arial" w:cs="Arial" w:eastAsia="Arial" w:hAnsi="Arial"/>
                <w:sz w:val="20"/>
                <w:szCs w:val="20"/>
                <w:color w:val="auto"/>
                <w:w w:val="98"/>
              </w:rPr>
              <w:t>The Children's Place, Inc.</w:t>
            </w:r>
          </w:p>
        </w:tc>
        <w:tc>
          <w:tcPr>
            <w:tcW w:w="2420" w:type="dxa"/>
            <w:vAlign w:val="bottom"/>
          </w:tcPr>
          <w:p>
            <w:pPr>
              <w:jc w:val="center"/>
              <w:ind w:left="301"/>
              <w:spacing w:after="0"/>
              <w:rPr>
                <w:sz w:val="20"/>
                <w:szCs w:val="20"/>
                <w:color w:val="auto"/>
              </w:rPr>
            </w:pPr>
            <w:r>
              <w:rPr>
                <w:rFonts w:ascii="Arial" w:cs="Arial" w:eastAsia="Arial" w:hAnsi="Arial"/>
                <w:sz w:val="20"/>
                <w:szCs w:val="20"/>
                <w:color w:val="auto"/>
                <w:w w:val="99"/>
              </w:rPr>
              <w:t>Oxford Industries, Inc.</w:t>
            </w:r>
          </w:p>
        </w:tc>
      </w:tr>
      <w:tr>
        <w:trPr>
          <w:trHeight w:val="284"/>
        </w:trPr>
        <w:tc>
          <w:tcPr>
            <w:tcW w:w="3220" w:type="dxa"/>
            <w:vAlign w:val="bottom"/>
          </w:tcPr>
          <w:p>
            <w:pPr>
              <w:jc w:val="center"/>
              <w:ind w:right="341"/>
              <w:spacing w:after="0"/>
              <w:rPr>
                <w:sz w:val="20"/>
                <w:szCs w:val="20"/>
                <w:color w:val="auto"/>
              </w:rPr>
            </w:pPr>
            <w:r>
              <w:rPr>
                <w:rFonts w:ascii="Arial" w:cs="Arial" w:eastAsia="Arial" w:hAnsi="Arial"/>
                <w:sz w:val="20"/>
                <w:szCs w:val="20"/>
                <w:color w:val="auto"/>
                <w:w w:val="98"/>
              </w:rPr>
              <w:t>Columbia Sportswear Company</w:t>
            </w:r>
          </w:p>
        </w:tc>
        <w:tc>
          <w:tcPr>
            <w:tcW w:w="2420" w:type="dxa"/>
            <w:vAlign w:val="bottom"/>
          </w:tcPr>
          <w:p>
            <w:pPr>
              <w:ind w:left="780"/>
              <w:spacing w:after="0"/>
              <w:rPr>
                <w:sz w:val="20"/>
                <w:szCs w:val="20"/>
                <w:color w:val="auto"/>
              </w:rPr>
            </w:pPr>
            <w:r>
              <w:rPr>
                <w:rFonts w:ascii="Arial" w:cs="Arial" w:eastAsia="Arial" w:hAnsi="Arial"/>
                <w:sz w:val="20"/>
                <w:szCs w:val="20"/>
                <w:color w:val="auto"/>
              </w:rPr>
              <w:t>Tapestry, Inc.</w:t>
            </w:r>
          </w:p>
        </w:tc>
      </w:tr>
      <w:tr>
        <w:trPr>
          <w:trHeight w:val="283"/>
        </w:trPr>
        <w:tc>
          <w:tcPr>
            <w:tcW w:w="3220" w:type="dxa"/>
            <w:vAlign w:val="bottom"/>
          </w:tcPr>
          <w:p>
            <w:pPr>
              <w:jc w:val="center"/>
              <w:ind w:right="321"/>
              <w:spacing w:after="0"/>
              <w:rPr>
                <w:sz w:val="20"/>
                <w:szCs w:val="20"/>
                <w:color w:val="auto"/>
              </w:rPr>
            </w:pPr>
            <w:r>
              <w:rPr>
                <w:rFonts w:ascii="Arial" w:cs="Arial" w:eastAsia="Arial" w:hAnsi="Arial"/>
                <w:sz w:val="20"/>
                <w:szCs w:val="20"/>
                <w:color w:val="auto"/>
                <w:w w:val="98"/>
              </w:rPr>
              <w:t>G-III Apparel Group, Ltd.</w:t>
            </w:r>
          </w:p>
        </w:tc>
        <w:tc>
          <w:tcPr>
            <w:tcW w:w="2420" w:type="dxa"/>
            <w:vAlign w:val="bottom"/>
          </w:tcPr>
          <w:p>
            <w:pPr>
              <w:jc w:val="center"/>
              <w:ind w:left="261"/>
              <w:spacing w:after="0"/>
              <w:rPr>
                <w:sz w:val="20"/>
                <w:szCs w:val="20"/>
                <w:color w:val="auto"/>
              </w:rPr>
            </w:pPr>
            <w:r>
              <w:rPr>
                <w:rFonts w:ascii="Arial" w:cs="Arial" w:eastAsia="Arial" w:hAnsi="Arial"/>
                <w:sz w:val="20"/>
                <w:szCs w:val="20"/>
                <w:color w:val="auto"/>
                <w:w w:val="98"/>
              </w:rPr>
              <w:t>Under Armour, Inc.</w:t>
            </w:r>
          </w:p>
        </w:tc>
      </w:tr>
      <w:tr>
        <w:trPr>
          <w:trHeight w:val="283"/>
        </w:trPr>
        <w:tc>
          <w:tcPr>
            <w:tcW w:w="3220" w:type="dxa"/>
            <w:vAlign w:val="bottom"/>
          </w:tcPr>
          <w:p>
            <w:pPr>
              <w:jc w:val="center"/>
              <w:ind w:right="381"/>
              <w:spacing w:after="0"/>
              <w:rPr>
                <w:sz w:val="20"/>
                <w:szCs w:val="20"/>
                <w:color w:val="auto"/>
              </w:rPr>
            </w:pPr>
            <w:r>
              <w:rPr>
                <w:rFonts w:ascii="Arial" w:cs="Arial" w:eastAsia="Arial" w:hAnsi="Arial"/>
                <w:sz w:val="20"/>
                <w:szCs w:val="20"/>
                <w:color w:val="auto"/>
                <w:w w:val="98"/>
              </w:rPr>
              <w:t>Gildan Activewear, Inc.</w:t>
            </w:r>
          </w:p>
        </w:tc>
        <w:tc>
          <w:tcPr>
            <w:tcW w:w="2420" w:type="dxa"/>
            <w:vAlign w:val="bottom"/>
          </w:tcPr>
          <w:p>
            <w:pPr>
              <w:jc w:val="center"/>
              <w:ind w:left="261"/>
              <w:spacing w:after="0"/>
              <w:rPr>
                <w:sz w:val="20"/>
                <w:szCs w:val="20"/>
                <w:color w:val="auto"/>
              </w:rPr>
            </w:pPr>
            <w:r>
              <w:rPr>
                <w:rFonts w:ascii="Arial" w:cs="Arial" w:eastAsia="Arial" w:hAnsi="Arial"/>
                <w:sz w:val="20"/>
                <w:szCs w:val="20"/>
                <w:color w:val="auto"/>
                <w:w w:val="98"/>
              </w:rPr>
              <w:t>Urban Outfitters, Inc.</w:t>
            </w:r>
          </w:p>
        </w:tc>
      </w:tr>
      <w:tr>
        <w:trPr>
          <w:trHeight w:val="284"/>
        </w:trPr>
        <w:tc>
          <w:tcPr>
            <w:tcW w:w="3220" w:type="dxa"/>
            <w:vAlign w:val="bottom"/>
          </w:tcPr>
          <w:p>
            <w:pPr>
              <w:jc w:val="center"/>
              <w:ind w:right="361"/>
              <w:spacing w:after="0"/>
              <w:rPr>
                <w:sz w:val="20"/>
                <w:szCs w:val="20"/>
                <w:color w:val="auto"/>
              </w:rPr>
            </w:pPr>
            <w:r>
              <w:rPr>
                <w:rFonts w:ascii="Arial" w:cs="Arial" w:eastAsia="Arial" w:hAnsi="Arial"/>
                <w:sz w:val="20"/>
                <w:szCs w:val="20"/>
                <w:color w:val="auto"/>
                <w:w w:val="99"/>
              </w:rPr>
              <w:t>Guess?, Inc.</w:t>
            </w:r>
          </w:p>
        </w:tc>
        <w:tc>
          <w:tcPr>
            <w:tcW w:w="2420" w:type="dxa"/>
            <w:vAlign w:val="bottom"/>
          </w:tcPr>
          <w:p>
            <w:pPr>
              <w:jc w:val="center"/>
              <w:ind w:left="341"/>
              <w:spacing w:after="0"/>
              <w:rPr>
                <w:sz w:val="20"/>
                <w:szCs w:val="20"/>
                <w:color w:val="auto"/>
              </w:rPr>
            </w:pPr>
            <w:r>
              <w:rPr>
                <w:rFonts w:ascii="Arial" w:cs="Arial" w:eastAsia="Arial" w:hAnsi="Arial"/>
                <w:sz w:val="20"/>
                <w:szCs w:val="20"/>
                <w:color w:val="auto"/>
                <w:w w:val="99"/>
              </w:rPr>
              <w:t>Victoria's Secret &amp; Co.</w:t>
            </w:r>
          </w:p>
        </w:tc>
      </w:tr>
      <w:tr>
        <w:trPr>
          <w:trHeight w:val="283"/>
        </w:trPr>
        <w:tc>
          <w:tcPr>
            <w:tcW w:w="3220" w:type="dxa"/>
            <w:vAlign w:val="bottom"/>
          </w:tcPr>
          <w:p>
            <w:pPr>
              <w:jc w:val="center"/>
              <w:ind w:right="381"/>
              <w:spacing w:after="0"/>
              <w:rPr>
                <w:sz w:val="20"/>
                <w:szCs w:val="20"/>
                <w:color w:val="auto"/>
              </w:rPr>
            </w:pPr>
            <w:r>
              <w:rPr>
                <w:rFonts w:ascii="Arial" w:cs="Arial" w:eastAsia="Arial" w:hAnsi="Arial"/>
                <w:sz w:val="20"/>
                <w:szCs w:val="20"/>
                <w:color w:val="auto"/>
                <w:w w:val="99"/>
              </w:rPr>
              <w:t>HanesBrands Inc.</w:t>
            </w:r>
          </w:p>
        </w:tc>
        <w:tc>
          <w:tcPr>
            <w:tcW w:w="2420" w:type="dxa"/>
            <w:vAlign w:val="bottom"/>
          </w:tcPr>
          <w:p>
            <w:pPr>
              <w:spacing w:after="0"/>
              <w:rPr>
                <w:sz w:val="24"/>
                <w:szCs w:val="24"/>
                <w:color w:val="auto"/>
              </w:rPr>
            </w:pPr>
          </w:p>
        </w:tc>
      </w:tr>
    </w:tbl>
    <w:p>
      <w:pPr>
        <w:spacing w:after="0" w:line="306" w:lineRule="exact"/>
        <w:rPr>
          <w:sz w:val="20"/>
          <w:szCs w:val="20"/>
          <w:color w:val="auto"/>
        </w:rPr>
      </w:pPr>
    </w:p>
    <w:p>
      <w:pPr>
        <w:ind w:left="140" w:right="360"/>
        <w:spacing w:after="0" w:line="254" w:lineRule="auto"/>
        <w:rPr>
          <w:sz w:val="20"/>
          <w:szCs w:val="20"/>
          <w:color w:val="auto"/>
        </w:rPr>
      </w:pPr>
      <w:r>
        <w:rPr>
          <w:rFonts w:ascii="Arial" w:cs="Arial" w:eastAsia="Arial" w:hAnsi="Arial"/>
          <w:sz w:val="20"/>
          <w:szCs w:val="20"/>
          <w:color w:val="auto"/>
        </w:rPr>
        <w:t>The Committee, with the advice of Meridian, also uses select information from a broader retail survey (that includes apparel and related products retailers or department stores which primarily sell apparel and related products) for executive compensation market assessment in order to supplement compensation data provided by the peer group analysis that may not be adequately represented in the data that is available from our peer group.</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2024 TOTAL DIRECT COMPENSATION</w:t>
      </w:r>
    </w:p>
    <w:p>
      <w:pPr>
        <w:spacing w:after="0" w:line="172" w:lineRule="exact"/>
        <w:rPr>
          <w:sz w:val="20"/>
          <w:szCs w:val="20"/>
          <w:color w:val="auto"/>
        </w:rPr>
      </w:pPr>
    </w:p>
    <w:p>
      <w:pPr>
        <w:ind w:left="140" w:right="440"/>
        <w:spacing w:after="0" w:line="255" w:lineRule="auto"/>
        <w:rPr>
          <w:sz w:val="20"/>
          <w:szCs w:val="20"/>
          <w:color w:val="auto"/>
        </w:rPr>
      </w:pPr>
      <w:r>
        <w:rPr>
          <w:rFonts w:ascii="Arial" w:cs="Arial" w:eastAsia="Arial" w:hAnsi="Arial"/>
          <w:sz w:val="20"/>
          <w:szCs w:val="20"/>
          <w:color w:val="auto"/>
        </w:rPr>
        <w:t>During fiscal2024, the Committee reviewed compensation data from our peer group and, as needed, a broader retail survey, and compared that data to the compensation of our NEOs, in connection with approving total direct compensation for 2024. In setting total direct compensation for 2024, the Committee also considered the various factors noted earlier in this CD&amp;A.</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components of total direct compensation are discussed more fully below.</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2024 BASE SALARY</w:t>
      </w:r>
    </w:p>
    <w:p>
      <w:pPr>
        <w:spacing w:after="0" w:line="170" w:lineRule="exact"/>
        <w:rPr>
          <w:sz w:val="20"/>
          <w:szCs w:val="20"/>
          <w:color w:val="auto"/>
        </w:rPr>
      </w:pPr>
    </w:p>
    <w:p>
      <w:pPr>
        <w:ind w:left="140"/>
        <w:spacing w:after="0" w:line="272" w:lineRule="auto"/>
        <w:rPr>
          <w:sz w:val="20"/>
          <w:szCs w:val="20"/>
          <w:color w:val="auto"/>
        </w:rPr>
      </w:pPr>
      <w:r>
        <w:rPr>
          <w:rFonts w:ascii="Arial" w:cs="Arial" w:eastAsia="Arial" w:hAnsi="Arial"/>
          <w:sz w:val="19"/>
          <w:szCs w:val="19"/>
          <w:color w:val="auto"/>
        </w:rPr>
        <w:t>In February2024, the Committee approved an increase in the base salaries for each of our NEOs employed with the Company at the time, with such increases effective in May2024. These increases were based on market data, the nature and scope of each NEO’s responsibilities, and each NEO’s performance during fiscal 2023 (as applicable).The base salary for each NEO for fiscal2024 is set forth below.</w:t>
      </w:r>
    </w:p>
    <w:p>
      <w:pPr>
        <w:sectPr>
          <w:pgSz w:w="11900" w:h="16838" w:orient="portrait"/>
          <w:cols w:equalWidth="0" w:num="1">
            <w:col w:w="9440"/>
          </w:cols>
          <w:pgMar w:left="1440" w:top="0" w:right="1019" w:bottom="1440" w:gutter="0" w:footer="0" w:header="0"/>
        </w:sectPr>
      </w:pPr>
    </w:p>
    <w:bookmarkStart w:id="39" w:name="page40"/>
    <w:bookmarkEnd w:id="39"/>
    <w:p>
      <w:pPr>
        <w:ind w:left="4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4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464820"/>
                    </a:xfrm>
                    <a:prstGeom prst="rect">
                      <a:avLst/>
                    </a:prstGeom>
                    <a:noFill/>
                  </pic:spPr>
                </pic:pic>
              </a:graphicData>
            </a:graphic>
          </wp:anchor>
        </w:drawing>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380"/>
          </w:cols>
          <w:pgMar w:left="1440" w:top="161" w:right="10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51"/>
        </w:trPr>
        <w:tc>
          <w:tcPr>
            <w:tcW w:w="2380" w:type="dxa"/>
            <w:vAlign w:val="bottom"/>
          </w:tcPr>
          <w:p>
            <w:pPr>
              <w:spacing w:after="0"/>
              <w:rPr>
                <w:sz w:val="21"/>
                <w:szCs w:val="21"/>
                <w:color w:val="auto"/>
              </w:rPr>
            </w:pPr>
          </w:p>
        </w:tc>
        <w:tc>
          <w:tcPr>
            <w:tcW w:w="120" w:type="dxa"/>
            <w:vAlign w:val="bottom"/>
            <w:shd w:val="clear" w:color="auto" w:fill="123054"/>
          </w:tcPr>
          <w:p>
            <w:pPr>
              <w:spacing w:after="0"/>
              <w:rPr>
                <w:sz w:val="21"/>
                <w:szCs w:val="21"/>
                <w:color w:val="auto"/>
              </w:rPr>
            </w:pPr>
          </w:p>
        </w:tc>
        <w:tc>
          <w:tcPr>
            <w:tcW w:w="1280" w:type="dxa"/>
            <w:vAlign w:val="bottom"/>
            <w:shd w:val="clear" w:color="auto" w:fill="123054"/>
          </w:tcPr>
          <w:p>
            <w:pPr>
              <w:ind w:left="280"/>
              <w:spacing w:after="0"/>
              <w:rPr>
                <w:sz w:val="20"/>
                <w:szCs w:val="20"/>
                <w:color w:val="auto"/>
              </w:rPr>
            </w:pPr>
            <w:r>
              <w:rPr>
                <w:rFonts w:ascii="Arial" w:cs="Arial" w:eastAsia="Arial" w:hAnsi="Arial"/>
                <w:sz w:val="18"/>
                <w:szCs w:val="18"/>
                <w:b w:val="1"/>
                <w:bCs w:val="1"/>
                <w:color w:val="FBFBFB"/>
              </w:rPr>
              <w:t>Richard</w:t>
            </w:r>
          </w:p>
        </w:tc>
        <w:tc>
          <w:tcPr>
            <w:tcW w:w="108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Kendra</w:t>
            </w:r>
          </w:p>
        </w:tc>
        <w:tc>
          <w:tcPr>
            <w:tcW w:w="1060" w:type="dxa"/>
            <w:vAlign w:val="bottom"/>
            <w:shd w:val="clear" w:color="auto" w:fill="123054"/>
          </w:tcPr>
          <w:p>
            <w:pPr>
              <w:jc w:val="right"/>
              <w:ind w:right="135"/>
              <w:spacing w:after="0"/>
              <w:rPr>
                <w:sz w:val="20"/>
                <w:szCs w:val="20"/>
                <w:color w:val="auto"/>
              </w:rPr>
            </w:pPr>
            <w:r>
              <w:rPr>
                <w:rFonts w:ascii="Arial" w:cs="Arial" w:eastAsia="Arial" w:hAnsi="Arial"/>
                <w:sz w:val="18"/>
                <w:szCs w:val="18"/>
                <w:b w:val="1"/>
                <w:bCs w:val="1"/>
                <w:color w:val="FBFBFB"/>
              </w:rPr>
              <w:t>Allison</w:t>
            </w:r>
          </w:p>
        </w:tc>
        <w:tc>
          <w:tcPr>
            <w:tcW w:w="98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Raghu</w:t>
            </w:r>
          </w:p>
        </w:tc>
        <w:tc>
          <w:tcPr>
            <w:tcW w:w="104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Michael</w:t>
            </w:r>
          </w:p>
        </w:tc>
        <w:tc>
          <w:tcPr>
            <w:tcW w:w="72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Brian</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80" w:type="dxa"/>
            <w:vAlign w:val="bottom"/>
          </w:tcPr>
          <w:p>
            <w:pPr>
              <w:spacing w:after="0"/>
              <w:rPr>
                <w:sz w:val="19"/>
                <w:szCs w:val="19"/>
                <w:color w:val="auto"/>
              </w:rPr>
            </w:pPr>
          </w:p>
        </w:tc>
        <w:tc>
          <w:tcPr>
            <w:tcW w:w="120" w:type="dxa"/>
            <w:vAlign w:val="bottom"/>
            <w:shd w:val="clear" w:color="auto" w:fill="123054"/>
          </w:tcPr>
          <w:p>
            <w:pPr>
              <w:spacing w:after="0"/>
              <w:rPr>
                <w:sz w:val="19"/>
                <w:szCs w:val="19"/>
                <w:color w:val="auto"/>
              </w:rPr>
            </w:pPr>
          </w:p>
        </w:tc>
        <w:tc>
          <w:tcPr>
            <w:tcW w:w="1280" w:type="dxa"/>
            <w:vAlign w:val="bottom"/>
            <w:shd w:val="clear" w:color="auto" w:fill="123054"/>
          </w:tcPr>
          <w:p>
            <w:pPr>
              <w:ind w:left="520"/>
              <w:spacing w:after="0"/>
              <w:rPr>
                <w:sz w:val="20"/>
                <w:szCs w:val="20"/>
                <w:color w:val="auto"/>
              </w:rPr>
            </w:pPr>
            <w:r>
              <w:rPr>
                <w:rFonts w:ascii="Arial" w:cs="Arial" w:eastAsia="Arial" w:hAnsi="Arial"/>
                <w:sz w:val="18"/>
                <w:szCs w:val="18"/>
                <w:b w:val="1"/>
                <w:bCs w:val="1"/>
                <w:color w:val="FBFBFB"/>
              </w:rPr>
              <w:t>F.</w:t>
            </w:r>
          </w:p>
        </w:tc>
        <w:tc>
          <w:tcPr>
            <w:tcW w:w="108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D.</w:t>
            </w:r>
          </w:p>
        </w:tc>
        <w:tc>
          <w:tcPr>
            <w:tcW w:w="106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M.</w:t>
            </w:r>
          </w:p>
        </w:tc>
        <w:tc>
          <w:tcPr>
            <w:tcW w:w="98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R.</w:t>
            </w:r>
          </w:p>
        </w:tc>
        <w:tc>
          <w:tcPr>
            <w:tcW w:w="104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w w:val="99"/>
              </w:rPr>
              <w:t>D.</w:t>
            </w:r>
          </w:p>
        </w:tc>
        <w:tc>
          <w:tcPr>
            <w:tcW w:w="720" w:type="dxa"/>
            <w:vAlign w:val="bottom"/>
            <w:shd w:val="clear" w:color="auto" w:fill="123054"/>
          </w:tcPr>
          <w:p>
            <w:pPr>
              <w:jc w:val="center"/>
              <w:spacing w:after="0"/>
              <w:rPr>
                <w:sz w:val="20"/>
                <w:szCs w:val="20"/>
                <w:color w:val="auto"/>
              </w:rPr>
            </w:pPr>
            <w:r>
              <w:rPr>
                <w:rFonts w:ascii="Arial" w:cs="Arial" w:eastAsia="Arial" w:hAnsi="Arial"/>
                <w:sz w:val="18"/>
                <w:szCs w:val="18"/>
                <w:b w:val="1"/>
                <w:bCs w:val="1"/>
                <w:color w:val="FBFBFB"/>
              </w:rPr>
              <w:t>J.</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20" w:type="dxa"/>
            <w:vAlign w:val="bottom"/>
            <w:shd w:val="clear" w:color="auto" w:fill="123054"/>
          </w:tcPr>
          <w:p>
            <w:pPr>
              <w:spacing w:after="0"/>
              <w:rPr>
                <w:sz w:val="10"/>
                <w:szCs w:val="10"/>
                <w:color w:val="auto"/>
              </w:rPr>
            </w:pPr>
          </w:p>
        </w:tc>
        <w:tc>
          <w:tcPr>
            <w:tcW w:w="1280" w:type="dxa"/>
            <w:vAlign w:val="bottom"/>
            <w:vMerge w:val="restart"/>
            <w:shd w:val="clear" w:color="auto" w:fill="123054"/>
          </w:tcPr>
          <w:p>
            <w:pPr>
              <w:jc w:val="center"/>
              <w:spacing w:after="0"/>
              <w:rPr>
                <w:sz w:val="20"/>
                <w:szCs w:val="20"/>
                <w:color w:val="auto"/>
              </w:rPr>
            </w:pPr>
            <w:r>
              <w:rPr>
                <w:rFonts w:ascii="Arial" w:cs="Arial" w:eastAsia="Arial" w:hAnsi="Arial"/>
                <w:sz w:val="18"/>
                <w:szCs w:val="18"/>
                <w:b w:val="1"/>
                <w:bCs w:val="1"/>
                <w:color w:val="FBFBFB"/>
                <w:w w:val="98"/>
              </w:rPr>
              <w:t>Westenberger</w:t>
            </w:r>
          </w:p>
        </w:tc>
        <w:tc>
          <w:tcPr>
            <w:tcW w:w="1080" w:type="dxa"/>
            <w:vAlign w:val="bottom"/>
            <w:vMerge w:val="restart"/>
            <w:shd w:val="clear" w:color="auto" w:fill="123054"/>
          </w:tcPr>
          <w:p>
            <w:pPr>
              <w:jc w:val="center"/>
              <w:spacing w:after="0"/>
              <w:rPr>
                <w:sz w:val="20"/>
                <w:szCs w:val="20"/>
                <w:color w:val="auto"/>
              </w:rPr>
            </w:pPr>
            <w:r>
              <w:rPr>
                <w:rFonts w:ascii="Arial" w:cs="Arial" w:eastAsia="Arial" w:hAnsi="Arial"/>
                <w:sz w:val="18"/>
                <w:szCs w:val="18"/>
                <w:b w:val="1"/>
                <w:bCs w:val="1"/>
                <w:color w:val="FBFBFB"/>
              </w:rPr>
              <w:t>Krugman</w:t>
            </w:r>
          </w:p>
        </w:tc>
        <w:tc>
          <w:tcPr>
            <w:tcW w:w="1060" w:type="dxa"/>
            <w:vAlign w:val="bottom"/>
            <w:shd w:val="clear" w:color="auto" w:fill="123054"/>
          </w:tcPr>
          <w:p>
            <w:pPr>
              <w:jc w:val="right"/>
              <w:ind w:right="75"/>
              <w:spacing w:after="0" w:line="118" w:lineRule="exact"/>
              <w:rPr>
                <w:sz w:val="20"/>
                <w:szCs w:val="20"/>
                <w:color w:val="auto"/>
              </w:rPr>
            </w:pPr>
            <w:r>
              <w:rPr>
                <w:rFonts w:ascii="Arial" w:cs="Arial" w:eastAsia="Arial" w:hAnsi="Arial"/>
                <w:sz w:val="12"/>
                <w:szCs w:val="12"/>
                <w:b w:val="1"/>
                <w:bCs w:val="1"/>
                <w:color w:val="FBFBFB"/>
              </w:rPr>
              <w:t>1</w:t>
            </w:r>
          </w:p>
        </w:tc>
        <w:tc>
          <w:tcPr>
            <w:tcW w:w="980" w:type="dxa"/>
            <w:vAlign w:val="bottom"/>
            <w:shd w:val="clear" w:color="auto" w:fill="123054"/>
          </w:tcPr>
          <w:p>
            <w:pPr>
              <w:jc w:val="right"/>
              <w:ind w:right="255"/>
              <w:spacing w:after="0" w:line="118" w:lineRule="exact"/>
              <w:rPr>
                <w:sz w:val="20"/>
                <w:szCs w:val="20"/>
                <w:color w:val="auto"/>
              </w:rPr>
            </w:pPr>
            <w:r>
              <w:rPr>
                <w:rFonts w:ascii="Arial" w:cs="Arial" w:eastAsia="Arial" w:hAnsi="Arial"/>
                <w:sz w:val="12"/>
                <w:szCs w:val="12"/>
                <w:b w:val="1"/>
                <w:bCs w:val="1"/>
                <w:color w:val="FBFBFB"/>
              </w:rPr>
              <w:t>2</w:t>
            </w:r>
          </w:p>
        </w:tc>
        <w:tc>
          <w:tcPr>
            <w:tcW w:w="1040" w:type="dxa"/>
            <w:vAlign w:val="bottom"/>
            <w:vMerge w:val="restart"/>
            <w:shd w:val="clear" w:color="auto" w:fill="123054"/>
          </w:tcPr>
          <w:p>
            <w:pPr>
              <w:jc w:val="center"/>
              <w:spacing w:after="0"/>
              <w:rPr>
                <w:sz w:val="20"/>
                <w:szCs w:val="20"/>
                <w:color w:val="auto"/>
              </w:rPr>
            </w:pPr>
            <w:r>
              <w:rPr>
                <w:rFonts w:ascii="Arial" w:cs="Arial" w:eastAsia="Arial" w:hAnsi="Arial"/>
                <w:sz w:val="18"/>
                <w:szCs w:val="18"/>
                <w:b w:val="1"/>
                <w:bCs w:val="1"/>
                <w:color w:val="FBFBFB"/>
              </w:rPr>
              <w:t>Casey</w:t>
            </w:r>
          </w:p>
        </w:tc>
        <w:tc>
          <w:tcPr>
            <w:tcW w:w="720" w:type="dxa"/>
            <w:vAlign w:val="bottom"/>
            <w:shd w:val="clear" w:color="auto" w:fill="123054"/>
          </w:tcPr>
          <w:p>
            <w:pPr>
              <w:jc w:val="right"/>
              <w:spacing w:after="0" w:line="118" w:lineRule="exact"/>
              <w:rPr>
                <w:sz w:val="20"/>
                <w:szCs w:val="20"/>
                <w:color w:val="auto"/>
              </w:rPr>
            </w:pPr>
            <w:r>
              <w:rPr>
                <w:rFonts w:ascii="Arial" w:cs="Arial" w:eastAsia="Arial" w:hAnsi="Arial"/>
                <w:sz w:val="12"/>
                <w:szCs w:val="12"/>
                <w:b w:val="1"/>
                <w:bCs w:val="1"/>
                <w:color w:val="FBFBFB"/>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123054"/>
            </w:tcBorders>
          </w:tcPr>
          <w:p>
            <w:pPr>
              <w:spacing w:after="0"/>
              <w:rPr>
                <w:sz w:val="17"/>
                <w:szCs w:val="17"/>
                <w:color w:val="auto"/>
              </w:rPr>
            </w:pPr>
          </w:p>
        </w:tc>
        <w:tc>
          <w:tcPr>
            <w:tcW w:w="120" w:type="dxa"/>
            <w:vAlign w:val="bottom"/>
            <w:tcBorders>
              <w:bottom w:val="single" w:sz="8" w:color="123054"/>
            </w:tcBorders>
            <w:shd w:val="clear" w:color="auto" w:fill="123054"/>
          </w:tcPr>
          <w:p>
            <w:pPr>
              <w:spacing w:after="0"/>
              <w:rPr>
                <w:sz w:val="17"/>
                <w:szCs w:val="17"/>
                <w:color w:val="auto"/>
              </w:rPr>
            </w:pPr>
          </w:p>
        </w:tc>
        <w:tc>
          <w:tcPr>
            <w:tcW w:w="1280" w:type="dxa"/>
            <w:vAlign w:val="bottom"/>
            <w:tcBorders>
              <w:bottom w:val="single" w:sz="8" w:color="123054"/>
            </w:tcBorders>
            <w:vMerge w:val="continue"/>
            <w:shd w:val="clear" w:color="auto" w:fill="123054"/>
          </w:tcPr>
          <w:p>
            <w:pPr>
              <w:spacing w:after="0"/>
              <w:rPr>
                <w:sz w:val="17"/>
                <w:szCs w:val="17"/>
                <w:color w:val="auto"/>
              </w:rPr>
            </w:pPr>
          </w:p>
        </w:tc>
        <w:tc>
          <w:tcPr>
            <w:tcW w:w="1080" w:type="dxa"/>
            <w:vAlign w:val="bottom"/>
            <w:tcBorders>
              <w:bottom w:val="single" w:sz="8" w:color="123054"/>
            </w:tcBorders>
            <w:vMerge w:val="continue"/>
            <w:shd w:val="clear" w:color="auto" w:fill="123054"/>
          </w:tcPr>
          <w:p>
            <w:pPr>
              <w:spacing w:after="0"/>
              <w:rPr>
                <w:sz w:val="17"/>
                <w:szCs w:val="17"/>
                <w:color w:val="auto"/>
              </w:rPr>
            </w:pPr>
          </w:p>
        </w:tc>
        <w:tc>
          <w:tcPr>
            <w:tcW w:w="1060" w:type="dxa"/>
            <w:vAlign w:val="bottom"/>
            <w:tcBorders>
              <w:bottom w:val="single" w:sz="8" w:color="123054"/>
            </w:tcBorders>
            <w:shd w:val="clear" w:color="auto" w:fill="123054"/>
          </w:tcPr>
          <w:p>
            <w:pPr>
              <w:jc w:val="center"/>
              <w:spacing w:after="0" w:line="202" w:lineRule="exact"/>
              <w:rPr>
                <w:sz w:val="20"/>
                <w:szCs w:val="20"/>
                <w:color w:val="auto"/>
              </w:rPr>
            </w:pPr>
            <w:r>
              <w:rPr>
                <w:rFonts w:ascii="Arial" w:cs="Arial" w:eastAsia="Arial" w:hAnsi="Arial"/>
                <w:sz w:val="18"/>
                <w:szCs w:val="18"/>
                <w:b w:val="1"/>
                <w:bCs w:val="1"/>
                <w:color w:val="FBFBFB"/>
                <w:w w:val="98"/>
              </w:rPr>
              <w:t>Peterson</w:t>
            </w:r>
          </w:p>
        </w:tc>
        <w:tc>
          <w:tcPr>
            <w:tcW w:w="980" w:type="dxa"/>
            <w:vAlign w:val="bottom"/>
            <w:tcBorders>
              <w:bottom w:val="single" w:sz="8" w:color="123054"/>
            </w:tcBorders>
            <w:shd w:val="clear" w:color="auto" w:fill="123054"/>
          </w:tcPr>
          <w:p>
            <w:pPr>
              <w:jc w:val="right"/>
              <w:ind w:right="275"/>
              <w:spacing w:after="0" w:line="202" w:lineRule="exact"/>
              <w:rPr>
                <w:sz w:val="20"/>
                <w:szCs w:val="20"/>
                <w:color w:val="auto"/>
              </w:rPr>
            </w:pPr>
            <w:r>
              <w:rPr>
                <w:rFonts w:ascii="Arial" w:cs="Arial" w:eastAsia="Arial" w:hAnsi="Arial"/>
                <w:sz w:val="18"/>
                <w:szCs w:val="18"/>
                <w:b w:val="1"/>
                <w:bCs w:val="1"/>
                <w:color w:val="FBFBFB"/>
              </w:rPr>
              <w:t>Sagi</w:t>
            </w:r>
          </w:p>
        </w:tc>
        <w:tc>
          <w:tcPr>
            <w:tcW w:w="1040" w:type="dxa"/>
            <w:vAlign w:val="bottom"/>
            <w:tcBorders>
              <w:bottom w:val="single" w:sz="8" w:color="123054"/>
            </w:tcBorders>
            <w:vMerge w:val="continue"/>
            <w:shd w:val="clear" w:color="auto" w:fill="123054"/>
          </w:tcPr>
          <w:p>
            <w:pPr>
              <w:spacing w:after="0"/>
              <w:rPr>
                <w:sz w:val="17"/>
                <w:szCs w:val="17"/>
                <w:color w:val="auto"/>
              </w:rPr>
            </w:pPr>
          </w:p>
        </w:tc>
        <w:tc>
          <w:tcPr>
            <w:tcW w:w="720" w:type="dxa"/>
            <w:vAlign w:val="bottom"/>
            <w:tcBorders>
              <w:bottom w:val="single" w:sz="8" w:color="123054"/>
            </w:tcBorders>
            <w:shd w:val="clear" w:color="auto" w:fill="123054"/>
          </w:tcPr>
          <w:p>
            <w:pPr>
              <w:jc w:val="center"/>
              <w:spacing w:after="0" w:line="202" w:lineRule="exact"/>
              <w:rPr>
                <w:sz w:val="20"/>
                <w:szCs w:val="20"/>
                <w:color w:val="auto"/>
              </w:rPr>
            </w:pPr>
            <w:r>
              <w:rPr>
                <w:rFonts w:ascii="Arial" w:cs="Arial" w:eastAsia="Arial" w:hAnsi="Arial"/>
                <w:sz w:val="18"/>
                <w:szCs w:val="18"/>
                <w:b w:val="1"/>
                <w:bCs w:val="1"/>
                <w:color w:val="FBFBFB"/>
              </w:rPr>
              <w:t>Lynch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500" w:type="dxa"/>
            <w:vAlign w:val="bottom"/>
            <w:gridSpan w:val="2"/>
          </w:tcPr>
          <w:p>
            <w:pPr>
              <w:ind w:left="60"/>
              <w:spacing w:after="0" w:line="191" w:lineRule="exact"/>
              <w:rPr>
                <w:sz w:val="20"/>
                <w:szCs w:val="20"/>
                <w:color w:val="auto"/>
              </w:rPr>
            </w:pPr>
            <w:r>
              <w:rPr>
                <w:rFonts w:ascii="Arial" w:cs="Arial" w:eastAsia="Arial" w:hAnsi="Arial"/>
                <w:sz w:val="18"/>
                <w:szCs w:val="18"/>
                <w:color w:val="auto"/>
              </w:rPr>
              <w:t>Base salary rate—2023</w:t>
            </w:r>
          </w:p>
        </w:tc>
        <w:tc>
          <w:tcPr>
            <w:tcW w:w="1280" w:type="dxa"/>
            <w:vAlign w:val="bottom"/>
          </w:tcPr>
          <w:p>
            <w:pPr>
              <w:jc w:val="center"/>
              <w:spacing w:after="0" w:line="191" w:lineRule="exact"/>
              <w:rPr>
                <w:sz w:val="20"/>
                <w:szCs w:val="20"/>
                <w:color w:val="auto"/>
              </w:rPr>
            </w:pPr>
            <w:r>
              <w:rPr>
                <w:rFonts w:ascii="Arial" w:cs="Arial" w:eastAsia="Arial" w:hAnsi="Arial"/>
                <w:sz w:val="18"/>
                <w:szCs w:val="18"/>
                <w:color w:val="auto"/>
              </w:rPr>
              <w:t>$715,000</w:t>
            </w:r>
          </w:p>
        </w:tc>
        <w:tc>
          <w:tcPr>
            <w:tcW w:w="1080" w:type="dxa"/>
            <w:vAlign w:val="bottom"/>
          </w:tcPr>
          <w:p>
            <w:pPr>
              <w:jc w:val="right"/>
              <w:ind w:right="10"/>
              <w:spacing w:after="0" w:line="191" w:lineRule="exact"/>
              <w:rPr>
                <w:sz w:val="20"/>
                <w:szCs w:val="20"/>
                <w:color w:val="auto"/>
              </w:rPr>
            </w:pPr>
            <w:r>
              <w:rPr>
                <w:rFonts w:ascii="Arial" w:cs="Arial" w:eastAsia="Arial" w:hAnsi="Arial"/>
                <w:sz w:val="18"/>
                <w:szCs w:val="18"/>
                <w:color w:val="auto"/>
              </w:rPr>
              <w:t>$700,000</w:t>
            </w:r>
          </w:p>
        </w:tc>
        <w:tc>
          <w:tcPr>
            <w:tcW w:w="1060" w:type="dxa"/>
            <w:vAlign w:val="bottom"/>
          </w:tcPr>
          <w:p>
            <w:pPr>
              <w:jc w:val="center"/>
              <w:spacing w:after="0" w:line="191"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191"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1" w:lineRule="exact"/>
              <w:rPr>
                <w:sz w:val="20"/>
                <w:szCs w:val="20"/>
                <w:color w:val="auto"/>
              </w:rPr>
            </w:pPr>
            <w:r>
              <w:rPr>
                <w:rFonts w:ascii="Arial" w:cs="Arial" w:eastAsia="Arial" w:hAnsi="Arial"/>
                <w:sz w:val="18"/>
                <w:szCs w:val="18"/>
                <w:color w:val="auto"/>
              </w:rPr>
              <w:t>$1,300,000</w:t>
            </w:r>
          </w:p>
        </w:tc>
        <w:tc>
          <w:tcPr>
            <w:tcW w:w="8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03"/>
        </w:trPr>
        <w:tc>
          <w:tcPr>
            <w:tcW w:w="2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(effective May 2023 for all</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officers except for Ms.</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Krugman, and effective March</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00" w:type="dxa"/>
            <w:vAlign w:val="bottom"/>
            <w:gridSpan w:val="2"/>
          </w:tcPr>
          <w:p>
            <w:pPr>
              <w:ind w:left="60"/>
              <w:spacing w:after="0"/>
              <w:rPr>
                <w:sz w:val="20"/>
                <w:szCs w:val="20"/>
                <w:color w:val="auto"/>
              </w:rPr>
            </w:pPr>
            <w:r>
              <w:rPr>
                <w:rFonts w:ascii="Arial" w:cs="Arial" w:eastAsia="Arial" w:hAnsi="Arial"/>
                <w:sz w:val="18"/>
                <w:szCs w:val="18"/>
                <w:color w:val="auto"/>
              </w:rPr>
              <w:t>2023 for Ms. Krugman)</w:t>
            </w: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00" w:type="dxa"/>
            <w:vAlign w:val="bottom"/>
            <w:gridSpan w:val="2"/>
            <w:shd w:val="clear" w:color="auto" w:fill="E4E4E4"/>
          </w:tcPr>
          <w:p>
            <w:pPr>
              <w:ind w:left="60"/>
              <w:spacing w:after="0"/>
              <w:rPr>
                <w:sz w:val="20"/>
                <w:szCs w:val="20"/>
                <w:color w:val="auto"/>
              </w:rPr>
            </w:pPr>
            <w:r>
              <w:rPr>
                <w:rFonts w:ascii="Arial" w:cs="Arial" w:eastAsia="Arial" w:hAnsi="Arial"/>
                <w:sz w:val="18"/>
                <w:szCs w:val="18"/>
                <w:color w:val="auto"/>
              </w:rPr>
              <w:t>Base salary rate—2024</w:t>
            </w:r>
          </w:p>
        </w:tc>
        <w:tc>
          <w:tcPr>
            <w:tcW w:w="1280" w:type="dxa"/>
            <w:vAlign w:val="bottom"/>
            <w:shd w:val="clear" w:color="auto" w:fill="E4E4E4"/>
          </w:tcPr>
          <w:p>
            <w:pPr>
              <w:jc w:val="center"/>
              <w:spacing w:after="0"/>
              <w:rPr>
                <w:sz w:val="20"/>
                <w:szCs w:val="20"/>
                <w:color w:val="auto"/>
              </w:rPr>
            </w:pPr>
            <w:r>
              <w:rPr>
                <w:rFonts w:ascii="Arial" w:cs="Arial" w:eastAsia="Arial" w:hAnsi="Arial"/>
                <w:sz w:val="18"/>
                <w:szCs w:val="18"/>
                <w:color w:val="auto"/>
              </w:rPr>
              <w:t>$775,000</w:t>
            </w:r>
          </w:p>
        </w:tc>
        <w:tc>
          <w:tcPr>
            <w:tcW w:w="1080" w:type="dxa"/>
            <w:vAlign w:val="bottom"/>
            <w:shd w:val="clear" w:color="auto" w:fill="E4E4E4"/>
          </w:tcPr>
          <w:p>
            <w:pPr>
              <w:jc w:val="right"/>
              <w:ind w:right="10"/>
              <w:spacing w:after="0"/>
              <w:rPr>
                <w:sz w:val="20"/>
                <w:szCs w:val="20"/>
                <w:color w:val="auto"/>
              </w:rPr>
            </w:pPr>
            <w:r>
              <w:rPr>
                <w:rFonts w:ascii="Arial" w:cs="Arial" w:eastAsia="Arial" w:hAnsi="Arial"/>
                <w:sz w:val="18"/>
                <w:szCs w:val="18"/>
                <w:color w:val="auto"/>
              </w:rPr>
              <w:t>$775,000</w:t>
            </w:r>
          </w:p>
        </w:tc>
        <w:tc>
          <w:tcPr>
            <w:tcW w:w="1060" w:type="dxa"/>
            <w:vAlign w:val="bottom"/>
            <w:shd w:val="clear" w:color="auto" w:fill="E4E4E4"/>
          </w:tcPr>
          <w:p>
            <w:pPr>
              <w:jc w:val="right"/>
              <w:ind w:right="35"/>
              <w:spacing w:after="0"/>
              <w:rPr>
                <w:sz w:val="20"/>
                <w:szCs w:val="20"/>
                <w:color w:val="auto"/>
              </w:rPr>
            </w:pPr>
            <w:r>
              <w:rPr>
                <w:rFonts w:ascii="Arial" w:cs="Arial" w:eastAsia="Arial" w:hAnsi="Arial"/>
                <w:sz w:val="18"/>
                <w:szCs w:val="18"/>
                <w:color w:val="auto"/>
              </w:rPr>
              <w:t>$750,000</w:t>
            </w:r>
          </w:p>
        </w:tc>
        <w:tc>
          <w:tcPr>
            <w:tcW w:w="980" w:type="dxa"/>
            <w:vAlign w:val="bottom"/>
            <w:shd w:val="clear" w:color="auto" w:fill="E4E4E4"/>
          </w:tcPr>
          <w:p>
            <w:pPr>
              <w:jc w:val="right"/>
              <w:ind w:right="15"/>
              <w:spacing w:after="0"/>
              <w:rPr>
                <w:sz w:val="20"/>
                <w:szCs w:val="20"/>
                <w:color w:val="auto"/>
              </w:rPr>
            </w:pPr>
            <w:r>
              <w:rPr>
                <w:rFonts w:ascii="Arial" w:cs="Arial" w:eastAsia="Arial" w:hAnsi="Arial"/>
                <w:sz w:val="18"/>
                <w:szCs w:val="18"/>
                <w:color w:val="auto"/>
              </w:rPr>
              <w:t>$600,000</w:t>
            </w:r>
          </w:p>
        </w:tc>
        <w:tc>
          <w:tcPr>
            <w:tcW w:w="1040" w:type="dxa"/>
            <w:vAlign w:val="bottom"/>
            <w:shd w:val="clear" w:color="auto" w:fill="E4E4E4"/>
          </w:tcPr>
          <w:p>
            <w:pPr>
              <w:jc w:val="right"/>
              <w:spacing w:after="0"/>
              <w:rPr>
                <w:sz w:val="20"/>
                <w:szCs w:val="20"/>
                <w:color w:val="auto"/>
              </w:rPr>
            </w:pPr>
            <w:r>
              <w:rPr>
                <w:rFonts w:ascii="Arial" w:cs="Arial" w:eastAsia="Arial" w:hAnsi="Arial"/>
                <w:sz w:val="18"/>
                <w:szCs w:val="18"/>
                <w:color w:val="auto"/>
              </w:rPr>
              <w:t>$1,340,000</w:t>
            </w:r>
          </w:p>
        </w:tc>
        <w:tc>
          <w:tcPr>
            <w:tcW w:w="72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E4E4E4"/>
          </w:tcPr>
          <w:p>
            <w:pPr>
              <w:ind w:left="60"/>
              <w:spacing w:after="0" w:line="202" w:lineRule="exact"/>
              <w:rPr>
                <w:sz w:val="20"/>
                <w:szCs w:val="20"/>
                <w:color w:val="auto"/>
              </w:rPr>
            </w:pPr>
            <w:r>
              <w:rPr>
                <w:rFonts w:ascii="Arial" w:cs="Arial" w:eastAsia="Arial" w:hAnsi="Arial"/>
                <w:sz w:val="18"/>
                <w:szCs w:val="18"/>
                <w:color w:val="auto"/>
              </w:rPr>
              <w:t>(effective May 2024 for all</w:t>
            </w:r>
          </w:p>
        </w:tc>
        <w:tc>
          <w:tcPr>
            <w:tcW w:w="12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E4E4E4"/>
          </w:tcPr>
          <w:p>
            <w:pPr>
              <w:ind w:left="60"/>
              <w:spacing w:after="0" w:line="202" w:lineRule="exact"/>
              <w:rPr>
                <w:sz w:val="20"/>
                <w:szCs w:val="20"/>
                <w:color w:val="auto"/>
              </w:rPr>
            </w:pPr>
            <w:r>
              <w:rPr>
                <w:rFonts w:ascii="Arial" w:cs="Arial" w:eastAsia="Arial" w:hAnsi="Arial"/>
                <w:sz w:val="18"/>
                <w:szCs w:val="18"/>
                <w:color w:val="auto"/>
              </w:rPr>
              <w:t>officers except for Ms.</w:t>
            </w:r>
          </w:p>
        </w:tc>
        <w:tc>
          <w:tcPr>
            <w:tcW w:w="12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E4E4E4"/>
          </w:tcPr>
          <w:p>
            <w:pPr>
              <w:ind w:left="60"/>
              <w:spacing w:after="0" w:line="202" w:lineRule="exact"/>
              <w:rPr>
                <w:sz w:val="20"/>
                <w:szCs w:val="20"/>
                <w:color w:val="auto"/>
              </w:rPr>
            </w:pPr>
            <w:r>
              <w:rPr>
                <w:rFonts w:ascii="Arial" w:cs="Arial" w:eastAsia="Arial" w:hAnsi="Arial"/>
                <w:sz w:val="18"/>
                <w:szCs w:val="18"/>
                <w:color w:val="auto"/>
              </w:rPr>
              <w:t>Peterson and Mr. Sagi,</w:t>
            </w:r>
          </w:p>
        </w:tc>
        <w:tc>
          <w:tcPr>
            <w:tcW w:w="12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E4E4E4"/>
          </w:tcPr>
          <w:p>
            <w:pPr>
              <w:ind w:left="60"/>
              <w:spacing w:after="0" w:line="202" w:lineRule="exact"/>
              <w:rPr>
                <w:sz w:val="20"/>
                <w:szCs w:val="20"/>
                <w:color w:val="auto"/>
              </w:rPr>
            </w:pPr>
            <w:r>
              <w:rPr>
                <w:rFonts w:ascii="Arial" w:cs="Arial" w:eastAsia="Arial" w:hAnsi="Arial"/>
                <w:sz w:val="18"/>
                <w:szCs w:val="18"/>
                <w:color w:val="auto"/>
              </w:rPr>
              <w:t>effective July 2024 for Ms.</w:t>
            </w:r>
          </w:p>
        </w:tc>
        <w:tc>
          <w:tcPr>
            <w:tcW w:w="12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E4E4E4"/>
          </w:tcPr>
          <w:p>
            <w:pPr>
              <w:ind w:left="60"/>
              <w:spacing w:after="0" w:line="202" w:lineRule="exact"/>
              <w:rPr>
                <w:sz w:val="20"/>
                <w:szCs w:val="20"/>
                <w:color w:val="auto"/>
              </w:rPr>
            </w:pPr>
            <w:r>
              <w:rPr>
                <w:rFonts w:ascii="Arial" w:cs="Arial" w:eastAsia="Arial" w:hAnsi="Arial"/>
                <w:sz w:val="18"/>
                <w:szCs w:val="18"/>
                <w:color w:val="auto"/>
              </w:rPr>
              <w:t>Peterson, and effective April</w:t>
            </w:r>
          </w:p>
        </w:tc>
        <w:tc>
          <w:tcPr>
            <w:tcW w:w="12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123054"/>
            </w:tcBorders>
            <w:gridSpan w:val="2"/>
            <w:shd w:val="clear" w:color="auto" w:fill="E4E4E4"/>
          </w:tcPr>
          <w:p>
            <w:pPr>
              <w:ind w:left="60"/>
              <w:spacing w:after="0"/>
              <w:rPr>
                <w:sz w:val="20"/>
                <w:szCs w:val="20"/>
                <w:color w:val="auto"/>
              </w:rPr>
            </w:pPr>
            <w:r>
              <w:rPr>
                <w:rFonts w:ascii="Arial" w:cs="Arial" w:eastAsia="Arial" w:hAnsi="Arial"/>
                <w:sz w:val="18"/>
                <w:szCs w:val="18"/>
                <w:color w:val="auto"/>
              </w:rPr>
              <w:t>2024 for Mr. Sagi)</w:t>
            </w:r>
          </w:p>
        </w:tc>
        <w:tc>
          <w:tcPr>
            <w:tcW w:w="1280" w:type="dxa"/>
            <w:vAlign w:val="bottom"/>
            <w:tcBorders>
              <w:bottom w:val="single" w:sz="8" w:color="123054"/>
            </w:tcBorders>
            <w:shd w:val="clear" w:color="auto" w:fill="E4E4E4"/>
          </w:tcPr>
          <w:p>
            <w:pPr>
              <w:spacing w:after="0"/>
              <w:rPr>
                <w:sz w:val="21"/>
                <w:szCs w:val="21"/>
                <w:color w:val="auto"/>
              </w:rPr>
            </w:pPr>
          </w:p>
        </w:tc>
        <w:tc>
          <w:tcPr>
            <w:tcW w:w="1080" w:type="dxa"/>
            <w:vAlign w:val="bottom"/>
            <w:tcBorders>
              <w:bottom w:val="single" w:sz="8" w:color="123054"/>
            </w:tcBorders>
            <w:shd w:val="clear" w:color="auto" w:fill="E4E4E4"/>
          </w:tcPr>
          <w:p>
            <w:pPr>
              <w:spacing w:after="0"/>
              <w:rPr>
                <w:sz w:val="21"/>
                <w:szCs w:val="21"/>
                <w:color w:val="auto"/>
              </w:rPr>
            </w:pPr>
          </w:p>
        </w:tc>
        <w:tc>
          <w:tcPr>
            <w:tcW w:w="1060" w:type="dxa"/>
            <w:vAlign w:val="bottom"/>
            <w:tcBorders>
              <w:bottom w:val="single" w:sz="8" w:color="123054"/>
            </w:tcBorders>
            <w:shd w:val="clear" w:color="auto" w:fill="E4E4E4"/>
          </w:tcPr>
          <w:p>
            <w:pPr>
              <w:spacing w:after="0"/>
              <w:rPr>
                <w:sz w:val="21"/>
                <w:szCs w:val="21"/>
                <w:color w:val="auto"/>
              </w:rPr>
            </w:pPr>
          </w:p>
        </w:tc>
        <w:tc>
          <w:tcPr>
            <w:tcW w:w="980" w:type="dxa"/>
            <w:vAlign w:val="bottom"/>
            <w:tcBorders>
              <w:bottom w:val="single" w:sz="8" w:color="123054"/>
            </w:tcBorders>
            <w:shd w:val="clear" w:color="auto" w:fill="E4E4E4"/>
          </w:tcPr>
          <w:p>
            <w:pPr>
              <w:spacing w:after="0"/>
              <w:rPr>
                <w:sz w:val="21"/>
                <w:szCs w:val="21"/>
                <w:color w:val="auto"/>
              </w:rPr>
            </w:pPr>
          </w:p>
        </w:tc>
        <w:tc>
          <w:tcPr>
            <w:tcW w:w="1040" w:type="dxa"/>
            <w:vAlign w:val="bottom"/>
            <w:tcBorders>
              <w:bottom w:val="single" w:sz="8" w:color="123054"/>
            </w:tcBorders>
            <w:shd w:val="clear" w:color="auto" w:fill="E4E4E4"/>
          </w:tcPr>
          <w:p>
            <w:pPr>
              <w:spacing w:after="0"/>
              <w:rPr>
                <w:sz w:val="21"/>
                <w:szCs w:val="21"/>
                <w:color w:val="auto"/>
              </w:rPr>
            </w:pPr>
          </w:p>
        </w:tc>
        <w:tc>
          <w:tcPr>
            <w:tcW w:w="720" w:type="dxa"/>
            <w:vAlign w:val="bottom"/>
            <w:tcBorders>
              <w:bottom w:val="single" w:sz="8" w:color="123054"/>
            </w:tcBorders>
            <w:shd w:val="clear" w:color="auto" w:fill="E4E4E4"/>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500" w:type="dxa"/>
            <w:vAlign w:val="bottom"/>
            <w:tcBorders>
              <w:bottom w:val="single" w:sz="8" w:color="123054"/>
            </w:tcBorders>
            <w:gridSpan w:val="2"/>
          </w:tcPr>
          <w:p>
            <w:pPr>
              <w:ind w:left="140"/>
              <w:spacing w:after="0"/>
              <w:rPr>
                <w:sz w:val="20"/>
                <w:szCs w:val="20"/>
                <w:color w:val="auto"/>
              </w:rPr>
            </w:pPr>
            <w:r>
              <w:rPr>
                <w:rFonts w:ascii="Arial" w:cs="Arial" w:eastAsia="Arial" w:hAnsi="Arial"/>
                <w:sz w:val="18"/>
                <w:szCs w:val="18"/>
                <w:color w:val="auto"/>
              </w:rPr>
              <w:t>Percentage Increase</w:t>
            </w:r>
          </w:p>
        </w:tc>
        <w:tc>
          <w:tcPr>
            <w:tcW w:w="1280" w:type="dxa"/>
            <w:vAlign w:val="bottom"/>
            <w:tcBorders>
              <w:bottom w:val="single" w:sz="8" w:color="123054"/>
            </w:tcBorders>
          </w:tcPr>
          <w:p>
            <w:pPr>
              <w:jc w:val="center"/>
              <w:spacing w:after="0"/>
              <w:rPr>
                <w:sz w:val="20"/>
                <w:szCs w:val="20"/>
                <w:color w:val="auto"/>
              </w:rPr>
            </w:pPr>
            <w:r>
              <w:rPr>
                <w:rFonts w:ascii="Arial" w:cs="Arial" w:eastAsia="Arial" w:hAnsi="Arial"/>
                <w:sz w:val="18"/>
                <w:szCs w:val="18"/>
                <w:color w:val="auto"/>
                <w:w w:val="97"/>
              </w:rPr>
              <w:t>8.39%</w:t>
            </w:r>
          </w:p>
        </w:tc>
        <w:tc>
          <w:tcPr>
            <w:tcW w:w="1080" w:type="dxa"/>
            <w:vAlign w:val="bottom"/>
            <w:tcBorders>
              <w:bottom w:val="single" w:sz="8" w:color="123054"/>
            </w:tcBorders>
          </w:tcPr>
          <w:p>
            <w:pPr>
              <w:jc w:val="center"/>
              <w:ind w:left="30"/>
              <w:spacing w:after="0"/>
              <w:rPr>
                <w:sz w:val="20"/>
                <w:szCs w:val="20"/>
                <w:color w:val="auto"/>
              </w:rPr>
            </w:pPr>
            <w:r>
              <w:rPr>
                <w:rFonts w:ascii="Arial" w:cs="Arial" w:eastAsia="Arial" w:hAnsi="Arial"/>
                <w:sz w:val="18"/>
                <w:szCs w:val="18"/>
                <w:color w:val="auto"/>
                <w:w w:val="98"/>
              </w:rPr>
              <w:t>10.71%</w:t>
            </w:r>
          </w:p>
        </w:tc>
        <w:tc>
          <w:tcPr>
            <w:tcW w:w="1060" w:type="dxa"/>
            <w:vAlign w:val="bottom"/>
            <w:tcBorders>
              <w:bottom w:val="single" w:sz="8" w:color="123054"/>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123054"/>
            </w:tcBorders>
          </w:tcPr>
          <w:p>
            <w:pPr>
              <w:jc w:val="right"/>
              <w:ind w:right="23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123054"/>
            </w:tcBorders>
          </w:tcPr>
          <w:p>
            <w:pPr>
              <w:jc w:val="center"/>
              <w:spacing w:after="0"/>
              <w:rPr>
                <w:sz w:val="20"/>
                <w:szCs w:val="20"/>
                <w:color w:val="auto"/>
              </w:rPr>
            </w:pPr>
            <w:r>
              <w:rPr>
                <w:rFonts w:ascii="Arial" w:cs="Arial" w:eastAsia="Arial" w:hAnsi="Arial"/>
                <w:sz w:val="18"/>
                <w:szCs w:val="18"/>
                <w:color w:val="auto"/>
              </w:rPr>
              <w:t>3.08%</w:t>
            </w:r>
          </w:p>
        </w:tc>
        <w:tc>
          <w:tcPr>
            <w:tcW w:w="720" w:type="dxa"/>
            <w:vAlign w:val="bottom"/>
            <w:tcBorders>
              <w:bottom w:val="single" w:sz="8" w:color="123054"/>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0" w:hanging="70"/>
        <w:spacing w:after="0"/>
        <w:tabs>
          <w:tab w:leader="none" w:pos="20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Ms. Peterson joined Carter's in July 2024.</w:t>
      </w:r>
    </w:p>
    <w:p>
      <w:pPr>
        <w:spacing w:after="0" w:line="11" w:lineRule="exact"/>
        <w:rPr>
          <w:rFonts w:ascii="Arial" w:cs="Arial" w:eastAsia="Arial" w:hAnsi="Arial"/>
          <w:sz w:val="18"/>
          <w:szCs w:val="18"/>
          <w:color w:val="auto"/>
          <w:vertAlign w:val="superscript"/>
        </w:rPr>
      </w:pPr>
    </w:p>
    <w:p>
      <w:pPr>
        <w:ind w:left="140"/>
        <w:spacing w:after="0" w:line="214"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Mr. Sagi joined Carter's in April 2024.</w:t>
      </w:r>
    </w:p>
    <w:p>
      <w:pPr>
        <w:ind w:left="140"/>
        <w:spacing w:after="0" w:line="226"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Mr. Lynch retired from Carter's in February 2024. Mr. Lynch's base salary remained the 2023 base salary rate until his retirement from Carter's in February 2024.</w:t>
      </w:r>
    </w:p>
    <w:p>
      <w:pPr>
        <w:spacing w:after="0" w:line="143" w:lineRule="exact"/>
        <w:rPr>
          <w:sz w:val="20"/>
          <w:szCs w:val="20"/>
          <w:color w:val="auto"/>
        </w:rPr>
      </w:pPr>
    </w:p>
    <w:p>
      <w:pPr>
        <w:ind w:left="140" w:right="500"/>
        <w:spacing w:after="0" w:line="271" w:lineRule="auto"/>
        <w:rPr>
          <w:sz w:val="20"/>
          <w:szCs w:val="20"/>
          <w:color w:val="auto"/>
        </w:rPr>
      </w:pPr>
      <w:r>
        <w:rPr>
          <w:rFonts w:ascii="Arial" w:cs="Arial" w:eastAsia="Arial" w:hAnsi="Arial"/>
          <w:sz w:val="20"/>
          <w:szCs w:val="20"/>
          <w:color w:val="auto"/>
        </w:rPr>
        <w:t>The total salary earned by each NEO in fiscal2024 is shown in the Summary Compensation Table in the “Salary” column and takes into account the change in each NEO’s salary as noted above.</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2024 ANNUAL CASH INCENTIVE COMPENSATION</w:t>
      </w:r>
    </w:p>
    <w:p>
      <w:pPr>
        <w:spacing w:after="0" w:line="170" w:lineRule="exact"/>
        <w:rPr>
          <w:sz w:val="20"/>
          <w:szCs w:val="20"/>
          <w:color w:val="auto"/>
        </w:rPr>
      </w:pPr>
    </w:p>
    <w:p>
      <w:pPr>
        <w:ind w:left="140" w:right="980"/>
        <w:spacing w:after="0" w:line="286" w:lineRule="auto"/>
        <w:rPr>
          <w:sz w:val="20"/>
          <w:szCs w:val="20"/>
          <w:color w:val="auto"/>
        </w:rPr>
      </w:pPr>
      <w:r>
        <w:rPr>
          <w:rFonts w:ascii="Arial" w:cs="Arial" w:eastAsia="Arial" w:hAnsi="Arial"/>
          <w:sz w:val="20"/>
          <w:szCs w:val="20"/>
          <w:color w:val="auto"/>
        </w:rPr>
        <w:t>In February2024, the Committee set the following fiscal2024 annual cash incentive compensation targets for our NEOs:</w:t>
      </w:r>
    </w:p>
    <w:p>
      <w:pPr>
        <w:spacing w:after="0" w:line="73" w:lineRule="exact"/>
        <w:rPr>
          <w:sz w:val="20"/>
          <w:szCs w:val="20"/>
          <w:color w:val="auto"/>
        </w:rPr>
      </w:pPr>
    </w:p>
    <w:p>
      <w:pPr>
        <w:ind w:left="540" w:hanging="329"/>
        <w:spacing w:after="0"/>
        <w:tabs>
          <w:tab w:leader="none" w:pos="540" w:val="left"/>
        </w:tabs>
        <w:numPr>
          <w:ilvl w:val="0"/>
          <w:numId w:val="46"/>
        </w:numPr>
        <w:rPr>
          <w:rFonts w:ascii="Arial" w:cs="Arial" w:eastAsia="Arial" w:hAnsi="Arial"/>
          <w:sz w:val="20"/>
          <w:szCs w:val="20"/>
          <w:color w:val="123054"/>
        </w:rPr>
      </w:pPr>
      <w:r>
        <w:rPr>
          <w:rFonts w:ascii="Arial" w:cs="Arial" w:eastAsia="Arial" w:hAnsi="Arial"/>
          <w:sz w:val="20"/>
          <w:szCs w:val="20"/>
          <w:color w:val="auto"/>
        </w:rPr>
        <w:t>150% of base salary for Mr. Casey; and</w:t>
      </w:r>
    </w:p>
    <w:p>
      <w:pPr>
        <w:spacing w:after="0" w:line="148" w:lineRule="exact"/>
        <w:rPr>
          <w:rFonts w:ascii="Arial" w:cs="Arial" w:eastAsia="Arial" w:hAnsi="Arial"/>
          <w:sz w:val="20"/>
          <w:szCs w:val="20"/>
          <w:color w:val="123054"/>
        </w:rPr>
      </w:pPr>
    </w:p>
    <w:p>
      <w:pPr>
        <w:ind w:left="540" w:hanging="329"/>
        <w:spacing w:after="0"/>
        <w:tabs>
          <w:tab w:leader="none" w:pos="540" w:val="left"/>
        </w:tabs>
        <w:numPr>
          <w:ilvl w:val="0"/>
          <w:numId w:val="46"/>
        </w:numPr>
        <w:rPr>
          <w:rFonts w:ascii="Arial" w:cs="Arial" w:eastAsia="Arial" w:hAnsi="Arial"/>
          <w:sz w:val="20"/>
          <w:szCs w:val="20"/>
          <w:color w:val="123054"/>
        </w:rPr>
      </w:pPr>
      <w:r>
        <w:rPr>
          <w:rFonts w:ascii="Arial" w:cs="Arial" w:eastAsia="Arial" w:hAnsi="Arial"/>
          <w:sz w:val="20"/>
          <w:szCs w:val="20"/>
          <w:color w:val="auto"/>
        </w:rPr>
        <w:t>85% of base salary for Mr. Westenberger and Ms. Krugman</w:t>
      </w:r>
    </w:p>
    <w:p>
      <w:pPr>
        <w:spacing w:after="0" w:line="148" w:lineRule="exact"/>
        <w:rPr>
          <w:rFonts w:ascii="Arial" w:cs="Arial" w:eastAsia="Arial" w:hAnsi="Arial"/>
          <w:sz w:val="20"/>
          <w:szCs w:val="20"/>
          <w:color w:val="123054"/>
        </w:rPr>
      </w:pPr>
    </w:p>
    <w:p>
      <w:pPr>
        <w:ind w:left="540"/>
        <w:spacing w:after="0"/>
        <w:rPr>
          <w:rFonts w:ascii="Arial" w:cs="Arial" w:eastAsia="Arial" w:hAnsi="Arial"/>
          <w:sz w:val="20"/>
          <w:szCs w:val="20"/>
          <w:color w:val="123054"/>
        </w:rPr>
      </w:pPr>
      <w:r>
        <w:rPr>
          <w:rFonts w:ascii="Arial" w:cs="Arial" w:eastAsia="Arial" w:hAnsi="Arial"/>
          <w:sz w:val="20"/>
          <w:szCs w:val="20"/>
          <w:color w:val="auto"/>
        </w:rPr>
        <w:t>based on each NEO’s responsibilities, expected contribution and market data.</w:t>
      </w:r>
    </w:p>
    <w:p>
      <w:pPr>
        <w:spacing w:after="0" w:line="162" w:lineRule="exact"/>
        <w:rPr>
          <w:sz w:val="20"/>
          <w:szCs w:val="20"/>
          <w:color w:val="auto"/>
        </w:rPr>
      </w:pPr>
    </w:p>
    <w:p>
      <w:pPr>
        <w:ind w:left="140" w:right="620"/>
        <w:spacing w:after="0" w:line="271" w:lineRule="auto"/>
        <w:rPr>
          <w:sz w:val="20"/>
          <w:szCs w:val="20"/>
          <w:color w:val="auto"/>
        </w:rPr>
      </w:pPr>
      <w:r>
        <w:rPr>
          <w:rFonts w:ascii="Arial" w:cs="Arial" w:eastAsia="Arial" w:hAnsi="Arial"/>
          <w:sz w:val="20"/>
          <w:szCs w:val="20"/>
          <w:color w:val="auto"/>
        </w:rPr>
        <w:t>No fiscal 2024 annual cash incentive compensation target was set for Mr. Lynch, as he retired from Carter's in February 2024.</w:t>
      </w:r>
    </w:p>
    <w:p>
      <w:pPr>
        <w:spacing w:after="0" w:line="196" w:lineRule="exact"/>
        <w:rPr>
          <w:sz w:val="20"/>
          <w:szCs w:val="20"/>
          <w:color w:val="auto"/>
        </w:rPr>
      </w:pPr>
    </w:p>
    <w:p>
      <w:pPr>
        <w:ind w:left="140" w:right="360"/>
        <w:spacing w:after="0" w:line="262" w:lineRule="auto"/>
        <w:rPr>
          <w:sz w:val="20"/>
          <w:szCs w:val="20"/>
          <w:color w:val="auto"/>
        </w:rPr>
      </w:pPr>
      <w:r>
        <w:rPr>
          <w:rFonts w:ascii="Arial" w:cs="Arial" w:eastAsia="Arial" w:hAnsi="Arial"/>
          <w:sz w:val="20"/>
          <w:szCs w:val="20"/>
          <w:color w:val="auto"/>
        </w:rPr>
        <w:t>Upon each of Ms. Peterson and Mr. Sagi joining Carter's in July 2024 and April 2024, respectively, the Committee set the fiscal 2024 annual cash incentive compensation target75%as of each of their respective base salaries.</w:t>
      </w:r>
    </w:p>
    <w:p>
      <w:pPr>
        <w:spacing w:after="0" w:line="192" w:lineRule="exact"/>
        <w:rPr>
          <w:sz w:val="20"/>
          <w:szCs w:val="20"/>
          <w:color w:val="auto"/>
        </w:rPr>
      </w:pPr>
    </w:p>
    <w:p>
      <w:pPr>
        <w:ind w:left="140" w:right="140"/>
        <w:spacing w:after="0" w:line="259" w:lineRule="auto"/>
        <w:rPr>
          <w:sz w:val="20"/>
          <w:szCs w:val="20"/>
          <w:color w:val="auto"/>
        </w:rPr>
      </w:pPr>
      <w:r>
        <w:rPr>
          <w:rFonts w:ascii="Arial" w:cs="Arial" w:eastAsia="Arial" w:hAnsi="Arial"/>
          <w:sz w:val="20"/>
          <w:szCs w:val="20"/>
          <w:color w:val="auto"/>
        </w:rPr>
        <w:t>In light of continued consumer trends and shifting customer demographics, management recommended, and the Committee approved, a 2024 annual cash incentive compensation structure that included two financial performance metrics and a strategic objectives component that included consumer-related objectives, as well as two financial performance metrics, as follows:</w:t>
      </w:r>
    </w:p>
    <w:p>
      <w:pPr>
        <w:spacing w:after="0" w:line="101" w:lineRule="exact"/>
        <w:rPr>
          <w:sz w:val="20"/>
          <w:szCs w:val="20"/>
          <w:color w:val="auto"/>
        </w:rPr>
      </w:pPr>
    </w:p>
    <w:p>
      <w:pPr>
        <w:ind w:left="540" w:hanging="329"/>
        <w:spacing w:after="0"/>
        <w:tabs>
          <w:tab w:leader="none" w:pos="540" w:val="left"/>
        </w:tabs>
        <w:numPr>
          <w:ilvl w:val="0"/>
          <w:numId w:val="47"/>
        </w:numPr>
        <w:rPr>
          <w:rFonts w:ascii="Arial" w:cs="Arial" w:eastAsia="Arial" w:hAnsi="Arial"/>
          <w:sz w:val="20"/>
          <w:szCs w:val="20"/>
          <w:color w:val="123054"/>
        </w:rPr>
      </w:pPr>
      <w:r>
        <w:rPr>
          <w:rFonts w:ascii="Arial" w:cs="Arial" w:eastAsia="Arial" w:hAnsi="Arial"/>
          <w:sz w:val="20"/>
          <w:szCs w:val="20"/>
          <w:color w:val="auto"/>
        </w:rPr>
        <w:t>net sales (weighted ta50%);</w:t>
      </w:r>
    </w:p>
    <w:p>
      <w:pPr>
        <w:spacing w:after="0" w:line="148" w:lineRule="exact"/>
        <w:rPr>
          <w:rFonts w:ascii="Arial" w:cs="Arial" w:eastAsia="Arial" w:hAnsi="Arial"/>
          <w:sz w:val="20"/>
          <w:szCs w:val="20"/>
          <w:color w:val="123054"/>
        </w:rPr>
      </w:pPr>
    </w:p>
    <w:p>
      <w:pPr>
        <w:ind w:left="540" w:right="300" w:hanging="329"/>
        <w:spacing w:after="0" w:line="286" w:lineRule="auto"/>
        <w:tabs>
          <w:tab w:leader="none" w:pos="540" w:val="left"/>
        </w:tabs>
        <w:numPr>
          <w:ilvl w:val="0"/>
          <w:numId w:val="47"/>
        </w:numPr>
        <w:rPr>
          <w:rFonts w:ascii="Arial" w:cs="Arial" w:eastAsia="Arial" w:hAnsi="Arial"/>
          <w:sz w:val="20"/>
          <w:szCs w:val="20"/>
          <w:color w:val="123054"/>
        </w:rPr>
      </w:pPr>
      <w:r>
        <w:rPr>
          <w:rFonts w:ascii="Arial" w:cs="Arial" w:eastAsia="Arial" w:hAnsi="Arial"/>
          <w:sz w:val="20"/>
          <w:szCs w:val="20"/>
          <w:color w:val="auto"/>
        </w:rPr>
        <w:t>operating income (weighted at30%) (with attainment to be based on adjusted results as reported to shareholders); and</w:t>
      </w:r>
    </w:p>
    <w:p>
      <w:pPr>
        <w:spacing w:after="0" w:line="72" w:lineRule="exact"/>
        <w:rPr>
          <w:rFonts w:ascii="Arial" w:cs="Arial" w:eastAsia="Arial" w:hAnsi="Arial"/>
          <w:sz w:val="20"/>
          <w:szCs w:val="20"/>
          <w:color w:val="123054"/>
        </w:rPr>
      </w:pPr>
    </w:p>
    <w:p>
      <w:pPr>
        <w:jc w:val="both"/>
        <w:ind w:left="540" w:right="800" w:hanging="329"/>
        <w:spacing w:after="0" w:line="313" w:lineRule="auto"/>
        <w:tabs>
          <w:tab w:leader="none" w:pos="540" w:val="left"/>
        </w:tabs>
        <w:numPr>
          <w:ilvl w:val="0"/>
          <w:numId w:val="47"/>
        </w:numPr>
        <w:rPr>
          <w:rFonts w:ascii="Arial" w:cs="Arial" w:eastAsia="Arial" w:hAnsi="Arial"/>
          <w:sz w:val="19"/>
          <w:szCs w:val="19"/>
          <w:color w:val="123054"/>
        </w:rPr>
      </w:pPr>
      <w:r>
        <w:rPr>
          <w:rFonts w:ascii="Arial" w:cs="Arial" w:eastAsia="Arial" w:hAnsi="Arial"/>
          <w:sz w:val="19"/>
          <w:szCs w:val="19"/>
          <w:color w:val="auto"/>
        </w:rPr>
        <w:t>strategic objectives (weightedat 20%), which consisted of the following objectives (1) improve consumer perception of Carter's brand style and value; (2) improve U.S. retail traffic through</w:t>
      </w:r>
    </w:p>
    <w:p>
      <w:pPr>
        <w:spacing w:after="0" w:line="200" w:lineRule="exact"/>
        <w:rPr>
          <w:sz w:val="20"/>
          <w:szCs w:val="20"/>
          <w:color w:val="auto"/>
        </w:rPr>
      </w:pPr>
    </w:p>
    <w:p>
      <w:pPr>
        <w:spacing w:after="0" w:line="24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019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1019175"/>
                    </a:xfrm>
                    <a:prstGeom prst="rect">
                      <a:avLst/>
                    </a:prstGeom>
                    <a:noFill/>
                  </pic:spPr>
                </pic:pic>
              </a:graphicData>
            </a:graphic>
          </wp:anchor>
        </w:drawing>
      </w:r>
    </w:p>
    <w:p>
      <w:pPr>
        <w:sectPr>
          <w:pgSz w:w="11900" w:h="16838" w:orient="portrait"/>
          <w:cols w:equalWidth="0" w:num="1">
            <w:col w:w="9380"/>
          </w:cols>
          <w:pgMar w:left="1440" w:top="161" w:right="10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right="440"/>
        <w:spacing w:after="0" w:line="286" w:lineRule="auto"/>
        <w:rPr>
          <w:sz w:val="20"/>
          <w:szCs w:val="20"/>
          <w:color w:val="auto"/>
        </w:rPr>
      </w:pPr>
      <w:r>
        <w:rPr>
          <w:rFonts w:ascii="Arial" w:cs="Arial" w:eastAsia="Arial" w:hAnsi="Arial"/>
          <w:sz w:val="20"/>
          <w:szCs w:val="20"/>
          <w:color w:val="auto"/>
        </w:rPr>
        <w:t>improved marketing effectiveness and new capabilities; and (3) demonstrate continued progress with multicultural consumer acquisition.</w:t>
      </w:r>
    </w:p>
    <w:p>
      <w:pPr>
        <w:sectPr>
          <w:pgSz w:w="11900" w:h="16838" w:orient="portrait"/>
          <w:cols w:equalWidth="0" w:num="1">
            <w:col w:w="9380"/>
          </w:cols>
          <w:pgMar w:left="1440" w:top="161" w:right="1079" w:bottom="0" w:gutter="0" w:footer="0" w:header="0"/>
          <w:type w:val="continuous"/>
        </w:sectPr>
      </w:pPr>
    </w:p>
    <w:bookmarkStart w:id="40" w:name="page41"/>
    <w:bookmarkEnd w:id="40"/>
    <w:p>
      <w:pPr>
        <w:spacing w:after="0" w:line="45" w:lineRule="exact"/>
        <w:rPr>
          <w:sz w:val="20"/>
          <w:szCs w:val="20"/>
          <w:color w:val="auto"/>
        </w:rPr>
      </w:pPr>
    </w:p>
    <w:p>
      <w:pPr>
        <w:ind w:left="140" w:right="20"/>
        <w:spacing w:after="0" w:line="262" w:lineRule="auto"/>
        <w:rPr>
          <w:sz w:val="20"/>
          <w:szCs w:val="20"/>
          <w:color w:val="auto"/>
        </w:rPr>
      </w:pPr>
      <w:r>
        <w:rPr>
          <w:rFonts w:ascii="Arial" w:cs="Arial" w:eastAsia="Arial" w:hAnsi="Arial"/>
          <w:sz w:val="19"/>
          <w:szCs w:val="19"/>
          <w:color w:val="auto"/>
        </w:rPr>
        <w:t>The Committee selected net sales, operating income (as it may be adjusted and reported to shareholders), and strategic objectives as performance metrics because it believes these metrics are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-279400</wp:posOffset>
            </wp:positionV>
            <wp:extent cx="6810375" cy="7837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7837170"/>
                    </a:xfrm>
                    <a:prstGeom prst="rect">
                      <a:avLst/>
                    </a:prstGeom>
                    <a:noFill/>
                  </pic:spPr>
                </pic:pic>
              </a:graphicData>
            </a:graphic>
          </wp:anchor>
        </w:drawing>
      </w:r>
    </w:p>
    <w:p>
      <w:pPr>
        <w:ind w:left="140"/>
        <w:spacing w:after="0" w:line="249" w:lineRule="auto"/>
        <w:rPr>
          <w:sz w:val="20"/>
          <w:szCs w:val="20"/>
          <w:color w:val="auto"/>
        </w:rPr>
      </w:pPr>
      <w:r>
        <w:rPr>
          <w:rFonts w:ascii="Arial" w:cs="Arial" w:eastAsia="Arial" w:hAnsi="Arial"/>
          <w:sz w:val="20"/>
          <w:szCs w:val="20"/>
          <w:color w:val="auto"/>
        </w:rPr>
        <w:t>measures that align with the interests of our shareholders, namely growth, profitability, and strategic objectives related to shifting consumer demographics and continued consumer trends. As described below, our NEOs could have earned from 0% to 200% of their target annual cash incentive compensation in fiscal 2024 based upon Carter’s achievement of net sales and operating income (as it may be adjusted) financial performance metrics and the strategic objectives metric.</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payment grid for the2024 annual incentive compensation program is set forth below.</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123054"/>
        </w:rPr>
        <w:t>2024 ANNUAL CASH INCENTIVE COMPENSATION — PERFORMANCE METRICS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540" w:type="dxa"/>
            <w:vAlign w:val="bottom"/>
            <w:tcBorders>
              <w:right w:val="single" w:sz="8" w:color="123054"/>
            </w:tcBorders>
          </w:tcPr>
          <w:p>
            <w:pPr>
              <w:spacing w:after="0"/>
              <w:rPr>
                <w:sz w:val="21"/>
                <w:szCs w:val="21"/>
                <w:color w:val="auto"/>
              </w:rPr>
            </w:pPr>
          </w:p>
        </w:tc>
        <w:tc>
          <w:tcPr>
            <w:tcW w:w="140" w:type="dxa"/>
            <w:vAlign w:val="bottom"/>
            <w:shd w:val="clear" w:color="auto" w:fill="123054"/>
          </w:tcPr>
          <w:p>
            <w:pPr>
              <w:spacing w:after="0"/>
              <w:rPr>
                <w:sz w:val="21"/>
                <w:szCs w:val="21"/>
                <w:color w:val="auto"/>
              </w:rPr>
            </w:pPr>
          </w:p>
        </w:tc>
        <w:tc>
          <w:tcPr>
            <w:tcW w:w="1300" w:type="dxa"/>
            <w:vAlign w:val="bottom"/>
            <w:tcBorders>
              <w:right w:val="single" w:sz="8" w:color="123054"/>
            </w:tcBorders>
            <w:shd w:val="clear" w:color="auto" w:fill="123054"/>
          </w:tcPr>
          <w:p>
            <w:pPr>
              <w:jc w:val="right"/>
              <w:ind w:right="161"/>
              <w:spacing w:after="0"/>
              <w:rPr>
                <w:sz w:val="20"/>
                <w:szCs w:val="20"/>
                <w:color w:val="auto"/>
              </w:rPr>
            </w:pPr>
            <w:r>
              <w:rPr>
                <w:rFonts w:ascii="Arial" w:cs="Arial" w:eastAsia="Arial" w:hAnsi="Arial"/>
                <w:sz w:val="20"/>
                <w:szCs w:val="20"/>
                <w:b w:val="1"/>
                <w:bCs w:val="1"/>
                <w:color w:val="FBFBFB"/>
              </w:rPr>
              <w:t>Net Sales</w:t>
            </w:r>
          </w:p>
        </w:tc>
        <w:tc>
          <w:tcPr>
            <w:tcW w:w="140" w:type="dxa"/>
            <w:vAlign w:val="bottom"/>
            <w:shd w:val="clear" w:color="auto" w:fill="123054"/>
          </w:tcPr>
          <w:p>
            <w:pPr>
              <w:spacing w:after="0"/>
              <w:rPr>
                <w:sz w:val="21"/>
                <w:szCs w:val="21"/>
                <w:color w:val="auto"/>
              </w:rPr>
            </w:pPr>
          </w:p>
        </w:tc>
        <w:tc>
          <w:tcPr>
            <w:tcW w:w="1480" w:type="dxa"/>
            <w:vAlign w:val="bottom"/>
            <w:tcBorders>
              <w:right w:val="single" w:sz="8" w:color="123054"/>
            </w:tcBorders>
            <w:shd w:val="clear" w:color="auto" w:fill="123054"/>
          </w:tcPr>
          <w:p>
            <w:pPr>
              <w:jc w:val="right"/>
              <w:ind w:right="7"/>
              <w:spacing w:after="0"/>
              <w:rPr>
                <w:sz w:val="20"/>
                <w:szCs w:val="20"/>
                <w:color w:val="auto"/>
              </w:rPr>
            </w:pPr>
            <w:r>
              <w:rPr>
                <w:rFonts w:ascii="Arial" w:cs="Arial" w:eastAsia="Arial" w:hAnsi="Arial"/>
                <w:sz w:val="20"/>
                <w:szCs w:val="20"/>
                <w:b w:val="1"/>
                <w:bCs w:val="1"/>
                <w:color w:val="FBFBFB"/>
                <w:w w:val="98"/>
              </w:rPr>
              <w:t>Adj. Operating</w:t>
            </w:r>
          </w:p>
        </w:tc>
        <w:tc>
          <w:tcPr>
            <w:tcW w:w="2040" w:type="dxa"/>
            <w:vAlign w:val="bottom"/>
            <w:vMerge w:val="restart"/>
            <w:shd w:val="clear" w:color="auto" w:fill="123054"/>
          </w:tcPr>
          <w:p>
            <w:pPr>
              <w:jc w:val="right"/>
              <w:spacing w:after="0"/>
              <w:rPr>
                <w:sz w:val="20"/>
                <w:szCs w:val="20"/>
                <w:color w:val="auto"/>
              </w:rPr>
            </w:pPr>
            <w:r>
              <w:rPr>
                <w:rFonts w:ascii="Arial" w:cs="Arial" w:eastAsia="Arial" w:hAnsi="Arial"/>
                <w:sz w:val="20"/>
                <w:szCs w:val="20"/>
                <w:b w:val="1"/>
                <w:bCs w:val="1"/>
                <w:color w:val="FBFBFB"/>
              </w:rPr>
              <w:t>Strategic Objectives</w:t>
            </w:r>
          </w:p>
        </w:tc>
        <w:tc>
          <w:tcPr>
            <w:tcW w:w="0" w:type="dxa"/>
            <w:vAlign w:val="bottom"/>
          </w:tcPr>
          <w:p>
            <w:pPr>
              <w:spacing w:after="0"/>
              <w:rPr>
                <w:sz w:val="1"/>
                <w:szCs w:val="1"/>
                <w:color w:val="auto"/>
              </w:rPr>
            </w:pPr>
          </w:p>
        </w:tc>
      </w:tr>
      <w:tr>
        <w:trPr>
          <w:trHeight w:val="189"/>
        </w:trPr>
        <w:tc>
          <w:tcPr>
            <w:tcW w:w="3540" w:type="dxa"/>
            <w:vAlign w:val="bottom"/>
            <w:tcBorders>
              <w:right w:val="single" w:sz="8" w:color="123054"/>
            </w:tcBorders>
          </w:tcPr>
          <w:p>
            <w:pPr>
              <w:spacing w:after="0"/>
              <w:rPr>
                <w:sz w:val="16"/>
                <w:szCs w:val="16"/>
                <w:color w:val="auto"/>
              </w:rPr>
            </w:pPr>
          </w:p>
        </w:tc>
        <w:tc>
          <w:tcPr>
            <w:tcW w:w="140" w:type="dxa"/>
            <w:vAlign w:val="bottom"/>
            <w:shd w:val="clear" w:color="auto" w:fill="123054"/>
          </w:tcPr>
          <w:p>
            <w:pPr>
              <w:spacing w:after="0"/>
              <w:rPr>
                <w:sz w:val="16"/>
                <w:szCs w:val="16"/>
                <w:color w:val="auto"/>
              </w:rPr>
            </w:pPr>
          </w:p>
        </w:tc>
        <w:tc>
          <w:tcPr>
            <w:tcW w:w="1300" w:type="dxa"/>
            <w:vAlign w:val="bottom"/>
            <w:tcBorders>
              <w:right w:val="single" w:sz="8" w:color="123054"/>
            </w:tcBorders>
            <w:shd w:val="clear" w:color="auto" w:fill="123054"/>
          </w:tcPr>
          <w:p>
            <w:pPr>
              <w:jc w:val="right"/>
              <w:ind w:right="381"/>
              <w:spacing w:after="0" w:line="189" w:lineRule="exact"/>
              <w:rPr>
                <w:sz w:val="20"/>
                <w:szCs w:val="20"/>
                <w:color w:val="auto"/>
              </w:rPr>
            </w:pPr>
            <w:r>
              <w:rPr>
                <w:rFonts w:ascii="Arial" w:cs="Arial" w:eastAsia="Arial" w:hAnsi="Arial"/>
                <w:sz w:val="20"/>
                <w:szCs w:val="20"/>
                <w:b w:val="1"/>
                <w:bCs w:val="1"/>
                <w:color w:val="FBFBFB"/>
              </w:rPr>
              <w:t>(50%)</w:t>
            </w:r>
          </w:p>
        </w:tc>
        <w:tc>
          <w:tcPr>
            <w:tcW w:w="140" w:type="dxa"/>
            <w:vAlign w:val="bottom"/>
            <w:shd w:val="clear" w:color="auto" w:fill="123054"/>
          </w:tcPr>
          <w:p>
            <w:pPr>
              <w:spacing w:after="0"/>
              <w:rPr>
                <w:sz w:val="16"/>
                <w:szCs w:val="16"/>
                <w:color w:val="auto"/>
              </w:rPr>
            </w:pPr>
          </w:p>
        </w:tc>
        <w:tc>
          <w:tcPr>
            <w:tcW w:w="1480" w:type="dxa"/>
            <w:vAlign w:val="bottom"/>
            <w:tcBorders>
              <w:right w:val="single" w:sz="8" w:color="123054"/>
            </w:tcBorders>
            <w:shd w:val="clear" w:color="auto" w:fill="123054"/>
          </w:tcPr>
          <w:p>
            <w:pPr>
              <w:jc w:val="right"/>
              <w:ind w:right="67"/>
              <w:spacing w:after="0" w:line="189" w:lineRule="exact"/>
              <w:rPr>
                <w:sz w:val="20"/>
                <w:szCs w:val="20"/>
                <w:color w:val="auto"/>
              </w:rPr>
            </w:pPr>
            <w:r>
              <w:rPr>
                <w:rFonts w:ascii="Arial" w:cs="Arial" w:eastAsia="Arial" w:hAnsi="Arial"/>
                <w:sz w:val="20"/>
                <w:szCs w:val="20"/>
                <w:b w:val="1"/>
                <w:bCs w:val="1"/>
                <w:color w:val="FBFBFB"/>
              </w:rPr>
              <w:t>Income (30%)</w:t>
            </w:r>
          </w:p>
        </w:tc>
        <w:tc>
          <w:tcPr>
            <w:tcW w:w="2040" w:type="dxa"/>
            <w:vAlign w:val="bottom"/>
            <w:vMerge w:val="continue"/>
            <w:shd w:val="clear" w:color="auto" w:fill="123054"/>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40" w:type="dxa"/>
            <w:vAlign w:val="bottom"/>
            <w:tcBorders>
              <w:right w:val="single" w:sz="8" w:color="123054"/>
            </w:tcBorders>
          </w:tcPr>
          <w:p>
            <w:pPr>
              <w:spacing w:after="0"/>
              <w:rPr>
                <w:sz w:val="10"/>
                <w:szCs w:val="10"/>
                <w:color w:val="auto"/>
              </w:rPr>
            </w:pPr>
          </w:p>
        </w:tc>
        <w:tc>
          <w:tcPr>
            <w:tcW w:w="140" w:type="dxa"/>
            <w:vAlign w:val="bottom"/>
            <w:shd w:val="clear" w:color="auto" w:fill="123054"/>
          </w:tcPr>
          <w:p>
            <w:pPr>
              <w:spacing w:after="0"/>
              <w:rPr>
                <w:sz w:val="10"/>
                <w:szCs w:val="10"/>
                <w:color w:val="auto"/>
              </w:rPr>
            </w:pPr>
          </w:p>
        </w:tc>
        <w:tc>
          <w:tcPr>
            <w:tcW w:w="1300" w:type="dxa"/>
            <w:vAlign w:val="bottom"/>
            <w:tcBorders>
              <w:right w:val="single" w:sz="8" w:color="123054"/>
            </w:tcBorders>
            <w:vMerge w:val="restart"/>
            <w:shd w:val="clear" w:color="auto" w:fill="123054"/>
          </w:tcPr>
          <w:p>
            <w:pPr>
              <w:jc w:val="right"/>
              <w:ind w:right="61"/>
              <w:spacing w:after="0"/>
              <w:rPr>
                <w:sz w:val="20"/>
                <w:szCs w:val="20"/>
                <w:color w:val="auto"/>
              </w:rPr>
            </w:pPr>
            <w:r>
              <w:rPr>
                <w:rFonts w:ascii="Arial" w:cs="Arial" w:eastAsia="Arial" w:hAnsi="Arial"/>
                <w:sz w:val="20"/>
                <w:szCs w:val="20"/>
                <w:b w:val="1"/>
                <w:bCs w:val="1"/>
                <w:color w:val="FBFBFB"/>
                <w:w w:val="99"/>
              </w:rPr>
              <w:t>(in millions)</w:t>
            </w:r>
          </w:p>
        </w:tc>
        <w:tc>
          <w:tcPr>
            <w:tcW w:w="140" w:type="dxa"/>
            <w:vAlign w:val="bottom"/>
            <w:shd w:val="clear" w:color="auto" w:fill="123054"/>
          </w:tcPr>
          <w:p>
            <w:pPr>
              <w:spacing w:after="0"/>
              <w:rPr>
                <w:sz w:val="10"/>
                <w:szCs w:val="10"/>
                <w:color w:val="auto"/>
              </w:rPr>
            </w:pPr>
          </w:p>
        </w:tc>
        <w:tc>
          <w:tcPr>
            <w:tcW w:w="1480" w:type="dxa"/>
            <w:vAlign w:val="bottom"/>
            <w:tcBorders>
              <w:right w:val="single" w:sz="8" w:color="123054"/>
            </w:tcBorders>
            <w:shd w:val="clear" w:color="auto" w:fill="123054"/>
          </w:tcPr>
          <w:p>
            <w:pPr>
              <w:jc w:val="right"/>
              <w:ind w:right="187"/>
              <w:spacing w:after="0" w:line="122" w:lineRule="exact"/>
              <w:rPr>
                <w:sz w:val="20"/>
                <w:szCs w:val="20"/>
                <w:color w:val="auto"/>
              </w:rPr>
            </w:pPr>
            <w:r>
              <w:rPr>
                <w:rFonts w:ascii="Arial" w:cs="Arial" w:eastAsia="Arial" w:hAnsi="Arial"/>
                <w:sz w:val="13"/>
                <w:szCs w:val="13"/>
                <w:b w:val="1"/>
                <w:bCs w:val="1"/>
                <w:color w:val="FBFBFB"/>
              </w:rPr>
              <w:t>1</w:t>
            </w:r>
          </w:p>
        </w:tc>
        <w:tc>
          <w:tcPr>
            <w:tcW w:w="2040" w:type="dxa"/>
            <w:vAlign w:val="bottom"/>
            <w:vMerge w:val="restart"/>
            <w:shd w:val="clear" w:color="auto" w:fill="123054"/>
          </w:tcPr>
          <w:p>
            <w:pPr>
              <w:jc w:val="right"/>
              <w:ind w:right="661"/>
              <w:spacing w:after="0"/>
              <w:rPr>
                <w:sz w:val="20"/>
                <w:szCs w:val="20"/>
                <w:color w:val="auto"/>
              </w:rPr>
            </w:pPr>
            <w:r>
              <w:rPr>
                <w:rFonts w:ascii="Arial" w:cs="Arial" w:eastAsia="Arial" w:hAnsi="Arial"/>
                <w:sz w:val="20"/>
                <w:szCs w:val="20"/>
                <w:b w:val="1"/>
                <w:bCs w:val="1"/>
                <w:color w:val="FBFBFB"/>
              </w:rPr>
              <w:t>(20%)</w:t>
            </w:r>
          </w:p>
        </w:tc>
        <w:tc>
          <w:tcPr>
            <w:tcW w:w="0" w:type="dxa"/>
            <w:vAlign w:val="bottom"/>
          </w:tcPr>
          <w:p>
            <w:pPr>
              <w:spacing w:after="0"/>
              <w:rPr>
                <w:sz w:val="1"/>
                <w:szCs w:val="1"/>
                <w:color w:val="auto"/>
              </w:rPr>
            </w:pPr>
          </w:p>
        </w:tc>
      </w:tr>
      <w:tr>
        <w:trPr>
          <w:trHeight w:val="148"/>
        </w:trPr>
        <w:tc>
          <w:tcPr>
            <w:tcW w:w="3540" w:type="dxa"/>
            <w:vAlign w:val="bottom"/>
            <w:tcBorders>
              <w:right w:val="single" w:sz="8" w:color="123054"/>
            </w:tcBorders>
          </w:tcPr>
          <w:p>
            <w:pPr>
              <w:spacing w:after="0"/>
              <w:rPr>
                <w:sz w:val="12"/>
                <w:szCs w:val="12"/>
                <w:color w:val="auto"/>
              </w:rPr>
            </w:pPr>
          </w:p>
        </w:tc>
        <w:tc>
          <w:tcPr>
            <w:tcW w:w="140" w:type="dxa"/>
            <w:vAlign w:val="bottom"/>
            <w:shd w:val="clear" w:color="auto" w:fill="123054"/>
          </w:tcPr>
          <w:p>
            <w:pPr>
              <w:spacing w:after="0"/>
              <w:rPr>
                <w:sz w:val="12"/>
                <w:szCs w:val="12"/>
                <w:color w:val="auto"/>
              </w:rPr>
            </w:pPr>
          </w:p>
        </w:tc>
        <w:tc>
          <w:tcPr>
            <w:tcW w:w="1300" w:type="dxa"/>
            <w:vAlign w:val="bottom"/>
            <w:tcBorders>
              <w:right w:val="single" w:sz="8" w:color="123054"/>
            </w:tcBorders>
            <w:vMerge w:val="continue"/>
            <w:shd w:val="clear" w:color="auto" w:fill="123054"/>
          </w:tcPr>
          <w:p>
            <w:pPr>
              <w:spacing w:after="0"/>
              <w:rPr>
                <w:sz w:val="12"/>
                <w:szCs w:val="12"/>
                <w:color w:val="auto"/>
              </w:rPr>
            </w:pPr>
          </w:p>
        </w:tc>
        <w:tc>
          <w:tcPr>
            <w:tcW w:w="140" w:type="dxa"/>
            <w:vAlign w:val="bottom"/>
            <w:shd w:val="clear" w:color="auto" w:fill="123054"/>
          </w:tcPr>
          <w:p>
            <w:pPr>
              <w:spacing w:after="0"/>
              <w:rPr>
                <w:sz w:val="12"/>
                <w:szCs w:val="12"/>
                <w:color w:val="auto"/>
              </w:rPr>
            </w:pPr>
          </w:p>
        </w:tc>
        <w:tc>
          <w:tcPr>
            <w:tcW w:w="1480" w:type="dxa"/>
            <w:vAlign w:val="bottom"/>
            <w:tcBorders>
              <w:right w:val="single" w:sz="8" w:color="123054"/>
            </w:tcBorders>
            <w:shd w:val="clear" w:color="auto" w:fill="123054"/>
          </w:tcPr>
          <w:p>
            <w:pPr>
              <w:jc w:val="right"/>
              <w:ind w:right="187"/>
              <w:spacing w:after="0" w:line="148" w:lineRule="exact"/>
              <w:rPr>
                <w:sz w:val="20"/>
                <w:szCs w:val="20"/>
                <w:color w:val="auto"/>
              </w:rPr>
            </w:pPr>
            <w:r>
              <w:rPr>
                <w:rFonts w:ascii="Arial" w:cs="Arial" w:eastAsia="Arial" w:hAnsi="Arial"/>
                <w:sz w:val="16"/>
                <w:szCs w:val="16"/>
                <w:b w:val="1"/>
                <w:bCs w:val="1"/>
                <w:color w:val="FBFBFB"/>
              </w:rPr>
              <w:t>(in millions)</w:t>
            </w:r>
          </w:p>
        </w:tc>
        <w:tc>
          <w:tcPr>
            <w:tcW w:w="2040" w:type="dxa"/>
            <w:vAlign w:val="bottom"/>
            <w:vMerge w:val="continue"/>
            <w:shd w:val="clear" w:color="auto" w:fill="123054"/>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54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w w:val="95"/>
              </w:rPr>
              <w:t>25% of Target (Threshold Performance)</w:t>
            </w:r>
          </w:p>
        </w:tc>
        <w:tc>
          <w:tcPr>
            <w:tcW w:w="140" w:type="dxa"/>
            <w:vAlign w:val="bottom"/>
            <w:tcBorders>
              <w:top w:val="single" w:sz="8" w:color="123054"/>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123054"/>
              <w:right w:val="single" w:sz="8" w:color="123054"/>
            </w:tcBorders>
          </w:tcPr>
          <w:p>
            <w:pPr>
              <w:jc w:val="right"/>
              <w:ind w:right="81"/>
              <w:spacing w:after="0"/>
              <w:rPr>
                <w:sz w:val="20"/>
                <w:szCs w:val="20"/>
                <w:color w:val="auto"/>
              </w:rPr>
            </w:pPr>
            <w:r>
              <w:rPr>
                <w:rFonts w:ascii="Arial" w:cs="Arial" w:eastAsia="Arial" w:hAnsi="Arial"/>
                <w:sz w:val="20"/>
                <w:szCs w:val="20"/>
                <w:color w:val="auto"/>
              </w:rPr>
              <w:t>2,890</w:t>
            </w:r>
          </w:p>
        </w:tc>
        <w:tc>
          <w:tcPr>
            <w:tcW w:w="140" w:type="dxa"/>
            <w:vAlign w:val="bottom"/>
            <w:tcBorders>
              <w:top w:val="single" w:sz="8" w:color="123054"/>
            </w:tcBorders>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123054"/>
              <w:right w:val="single" w:sz="8" w:color="123054"/>
            </w:tcBorders>
          </w:tcPr>
          <w:p>
            <w:pPr>
              <w:jc w:val="right"/>
              <w:ind w:right="267"/>
              <w:spacing w:after="0"/>
              <w:rPr>
                <w:sz w:val="20"/>
                <w:szCs w:val="20"/>
                <w:color w:val="auto"/>
              </w:rPr>
            </w:pPr>
            <w:r>
              <w:rPr>
                <w:rFonts w:ascii="Arial" w:cs="Arial" w:eastAsia="Arial" w:hAnsi="Arial"/>
                <w:sz w:val="20"/>
                <w:szCs w:val="20"/>
                <w:color w:val="auto"/>
              </w:rPr>
              <w:t>310</w:t>
            </w:r>
          </w:p>
        </w:tc>
        <w:tc>
          <w:tcPr>
            <w:tcW w:w="2040" w:type="dxa"/>
            <w:vAlign w:val="bottom"/>
          </w:tcPr>
          <w:p>
            <w:pPr>
              <w:jc w:val="right"/>
              <w:ind w:right="2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74"/>
        </w:trPr>
        <w:tc>
          <w:tcPr>
            <w:tcW w:w="35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20"/>
                <w:szCs w:val="20"/>
                <w:color w:val="auto"/>
              </w:rPr>
              <w:t>100% of Target (Target Performance)</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right w:val="single" w:sz="8" w:color="123054"/>
            </w:tcBorders>
            <w:shd w:val="clear" w:color="auto" w:fill="E4E4E4"/>
          </w:tcPr>
          <w:p>
            <w:pPr>
              <w:jc w:val="right"/>
              <w:ind w:right="81"/>
              <w:spacing w:after="0"/>
              <w:rPr>
                <w:sz w:val="20"/>
                <w:szCs w:val="20"/>
                <w:color w:val="auto"/>
              </w:rPr>
            </w:pPr>
            <w:r>
              <w:rPr>
                <w:rFonts w:ascii="Arial" w:cs="Arial" w:eastAsia="Arial" w:hAnsi="Arial"/>
                <w:sz w:val="20"/>
                <w:szCs w:val="20"/>
                <w:color w:val="auto"/>
              </w:rPr>
              <w:t>3,000</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right w:val="single" w:sz="8" w:color="123054"/>
            </w:tcBorders>
            <w:shd w:val="clear" w:color="auto" w:fill="E4E4E4"/>
          </w:tcPr>
          <w:p>
            <w:pPr>
              <w:jc w:val="right"/>
              <w:ind w:right="267"/>
              <w:spacing w:after="0"/>
              <w:rPr>
                <w:sz w:val="20"/>
                <w:szCs w:val="20"/>
                <w:color w:val="auto"/>
              </w:rPr>
            </w:pPr>
            <w:r>
              <w:rPr>
                <w:rFonts w:ascii="Arial" w:cs="Arial" w:eastAsia="Arial" w:hAnsi="Arial"/>
                <w:sz w:val="20"/>
                <w:szCs w:val="20"/>
                <w:color w:val="auto"/>
              </w:rPr>
              <w:t>345</w:t>
            </w:r>
          </w:p>
        </w:tc>
        <w:tc>
          <w:tcPr>
            <w:tcW w:w="2040" w:type="dxa"/>
            <w:vAlign w:val="bottom"/>
            <w:shd w:val="clear" w:color="auto" w:fill="E4E4E4"/>
          </w:tcPr>
          <w:p>
            <w:pPr>
              <w:jc w:val="right"/>
              <w:ind w:right="2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21"/>
        </w:trPr>
        <w:tc>
          <w:tcPr>
            <w:tcW w:w="3540" w:type="dxa"/>
            <w:vAlign w:val="bottom"/>
            <w:tcBorders>
              <w:right w:val="single" w:sz="8" w:color="123054"/>
            </w:tcBorders>
          </w:tcPr>
          <w:p>
            <w:pPr>
              <w:ind w:left="140"/>
              <w:spacing w:after="0" w:line="222" w:lineRule="exact"/>
              <w:rPr>
                <w:sz w:val="20"/>
                <w:szCs w:val="20"/>
                <w:color w:val="auto"/>
              </w:rPr>
            </w:pPr>
            <w:r>
              <w:rPr>
                <w:rFonts w:ascii="Arial" w:cs="Arial" w:eastAsia="Arial" w:hAnsi="Arial"/>
                <w:sz w:val="20"/>
                <w:szCs w:val="20"/>
                <w:color w:val="auto"/>
              </w:rPr>
              <w:t>200% of Target (Maximum</w:t>
            </w:r>
          </w:p>
        </w:tc>
        <w:tc>
          <w:tcPr>
            <w:tcW w:w="140" w:type="dxa"/>
            <w:vAlign w:val="bottom"/>
          </w:tcPr>
          <w:p>
            <w:pPr>
              <w:jc w:val="right"/>
              <w:spacing w:after="0" w:line="222" w:lineRule="exact"/>
              <w:rPr>
                <w:sz w:val="20"/>
                <w:szCs w:val="20"/>
                <w:color w:val="auto"/>
              </w:rPr>
            </w:pPr>
            <w:r>
              <w:rPr>
                <w:rFonts w:ascii="Arial" w:cs="Arial" w:eastAsia="Arial" w:hAnsi="Arial"/>
                <w:sz w:val="20"/>
                <w:szCs w:val="20"/>
                <w:color w:val="auto"/>
                <w:w w:val="89"/>
              </w:rPr>
              <w:t>$</w:t>
            </w:r>
          </w:p>
        </w:tc>
        <w:tc>
          <w:tcPr>
            <w:tcW w:w="1300" w:type="dxa"/>
            <w:vAlign w:val="bottom"/>
            <w:tcBorders>
              <w:right w:val="single" w:sz="8" w:color="123054"/>
            </w:tcBorders>
          </w:tcPr>
          <w:p>
            <w:pPr>
              <w:jc w:val="right"/>
              <w:ind w:right="81"/>
              <w:spacing w:after="0" w:line="222" w:lineRule="exact"/>
              <w:rPr>
                <w:sz w:val="20"/>
                <w:szCs w:val="20"/>
                <w:color w:val="auto"/>
              </w:rPr>
            </w:pPr>
            <w:r>
              <w:rPr>
                <w:rFonts w:ascii="Arial" w:cs="Arial" w:eastAsia="Arial" w:hAnsi="Arial"/>
                <w:sz w:val="20"/>
                <w:szCs w:val="20"/>
                <w:color w:val="auto"/>
              </w:rPr>
              <w:t>3,093</w:t>
            </w:r>
          </w:p>
        </w:tc>
        <w:tc>
          <w:tcPr>
            <w:tcW w:w="140" w:type="dxa"/>
            <w:vAlign w:val="bottom"/>
          </w:tcPr>
          <w:p>
            <w:pPr>
              <w:jc w:val="right"/>
              <w:spacing w:after="0" w:line="222" w:lineRule="exact"/>
              <w:rPr>
                <w:sz w:val="20"/>
                <w:szCs w:val="20"/>
                <w:color w:val="auto"/>
              </w:rPr>
            </w:pPr>
            <w:r>
              <w:rPr>
                <w:rFonts w:ascii="Arial" w:cs="Arial" w:eastAsia="Arial" w:hAnsi="Arial"/>
                <w:sz w:val="20"/>
                <w:szCs w:val="20"/>
                <w:color w:val="auto"/>
                <w:w w:val="89"/>
              </w:rPr>
              <w:t>$</w:t>
            </w:r>
          </w:p>
        </w:tc>
        <w:tc>
          <w:tcPr>
            <w:tcW w:w="1480" w:type="dxa"/>
            <w:vAlign w:val="bottom"/>
            <w:tcBorders>
              <w:right w:val="single" w:sz="8" w:color="123054"/>
            </w:tcBorders>
          </w:tcPr>
          <w:p>
            <w:pPr>
              <w:jc w:val="right"/>
              <w:ind w:right="267"/>
              <w:spacing w:after="0" w:line="222" w:lineRule="exact"/>
              <w:rPr>
                <w:sz w:val="20"/>
                <w:szCs w:val="20"/>
                <w:color w:val="auto"/>
              </w:rPr>
            </w:pPr>
            <w:r>
              <w:rPr>
                <w:rFonts w:ascii="Arial" w:cs="Arial" w:eastAsia="Arial" w:hAnsi="Arial"/>
                <w:sz w:val="20"/>
                <w:szCs w:val="20"/>
                <w:color w:val="auto"/>
              </w:rPr>
              <w:t>377</w:t>
            </w:r>
          </w:p>
        </w:tc>
        <w:tc>
          <w:tcPr>
            <w:tcW w:w="2040" w:type="dxa"/>
            <w:vAlign w:val="bottom"/>
          </w:tcPr>
          <w:p>
            <w:pPr>
              <w:jc w:val="right"/>
              <w:ind w:right="261"/>
              <w:spacing w:after="0" w:line="222" w:lineRule="exact"/>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63"/>
        </w:trPr>
        <w:tc>
          <w:tcPr>
            <w:tcW w:w="3540" w:type="dxa"/>
            <w:vAlign w:val="bottom"/>
            <w:tcBorders>
              <w:bottom w:val="single" w:sz="8" w:color="123054"/>
              <w:right w:val="single" w:sz="8" w:color="123054"/>
            </w:tcBorders>
          </w:tcPr>
          <w:p>
            <w:pPr>
              <w:ind w:left="140"/>
              <w:spacing w:after="0"/>
              <w:rPr>
                <w:sz w:val="20"/>
                <w:szCs w:val="20"/>
                <w:color w:val="auto"/>
              </w:rPr>
            </w:pPr>
            <w:r>
              <w:rPr>
                <w:rFonts w:ascii="Arial" w:cs="Arial" w:eastAsia="Arial" w:hAnsi="Arial"/>
                <w:sz w:val="20"/>
                <w:szCs w:val="20"/>
                <w:color w:val="auto"/>
              </w:rPr>
              <w:t>Performance)</w:t>
            </w:r>
          </w:p>
        </w:tc>
        <w:tc>
          <w:tcPr>
            <w:tcW w:w="140" w:type="dxa"/>
            <w:vAlign w:val="bottom"/>
            <w:tcBorders>
              <w:bottom w:val="single" w:sz="8" w:color="123054"/>
            </w:tcBorders>
          </w:tcPr>
          <w:p>
            <w:pPr>
              <w:spacing w:after="0"/>
              <w:rPr>
                <w:sz w:val="22"/>
                <w:szCs w:val="22"/>
                <w:color w:val="auto"/>
              </w:rPr>
            </w:pPr>
          </w:p>
        </w:tc>
        <w:tc>
          <w:tcPr>
            <w:tcW w:w="1300" w:type="dxa"/>
            <w:vAlign w:val="bottom"/>
            <w:tcBorders>
              <w:bottom w:val="single" w:sz="8" w:color="123054"/>
              <w:right w:val="single" w:sz="8" w:color="123054"/>
            </w:tcBorders>
          </w:tcPr>
          <w:p>
            <w:pPr>
              <w:spacing w:after="0"/>
              <w:rPr>
                <w:sz w:val="22"/>
                <w:szCs w:val="22"/>
                <w:color w:val="auto"/>
              </w:rPr>
            </w:pPr>
          </w:p>
        </w:tc>
        <w:tc>
          <w:tcPr>
            <w:tcW w:w="140" w:type="dxa"/>
            <w:vAlign w:val="bottom"/>
            <w:tcBorders>
              <w:bottom w:val="single" w:sz="8" w:color="123054"/>
            </w:tcBorders>
          </w:tcPr>
          <w:p>
            <w:pPr>
              <w:spacing w:after="0"/>
              <w:rPr>
                <w:sz w:val="22"/>
                <w:szCs w:val="22"/>
                <w:color w:val="auto"/>
              </w:rPr>
            </w:pPr>
          </w:p>
        </w:tc>
        <w:tc>
          <w:tcPr>
            <w:tcW w:w="1480" w:type="dxa"/>
            <w:vAlign w:val="bottom"/>
            <w:tcBorders>
              <w:bottom w:val="single" w:sz="8" w:color="123054"/>
              <w:right w:val="single" w:sz="8" w:color="123054"/>
            </w:tcBorders>
          </w:tcPr>
          <w:p>
            <w:pPr>
              <w:spacing w:after="0"/>
              <w:rPr>
                <w:sz w:val="22"/>
                <w:szCs w:val="22"/>
                <w:color w:val="auto"/>
              </w:rPr>
            </w:pPr>
          </w:p>
        </w:tc>
        <w:tc>
          <w:tcPr>
            <w:tcW w:w="2040" w:type="dxa"/>
            <w:vAlign w:val="bottom"/>
            <w:tcBorders>
              <w:bottom w:val="single" w:sz="8" w:color="123054"/>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20"/>
                <w:szCs w:val="20"/>
                <w:b w:val="1"/>
                <w:bCs w:val="1"/>
                <w:color w:val="auto"/>
              </w:rPr>
              <w:t>Fiscal2024 Performance</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Borders>
              <w:right w:val="single" w:sz="8" w:color="123054"/>
            </w:tcBorders>
            <w:shd w:val="clear" w:color="auto" w:fill="E4E4E4"/>
          </w:tcPr>
          <w:p>
            <w:pPr>
              <w:jc w:val="right"/>
              <w:ind w:right="101"/>
              <w:spacing w:after="0"/>
              <w:rPr>
                <w:sz w:val="20"/>
                <w:szCs w:val="20"/>
                <w:color w:val="auto"/>
              </w:rPr>
            </w:pPr>
            <w:r>
              <w:rPr>
                <w:rFonts w:ascii="Arial" w:cs="Arial" w:eastAsia="Arial" w:hAnsi="Arial"/>
                <w:sz w:val="20"/>
                <w:szCs w:val="20"/>
                <w:b w:val="1"/>
                <w:bCs w:val="1"/>
                <w:color w:val="auto"/>
              </w:rPr>
              <w:t>2,844</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b w:val="1"/>
                <w:bCs w:val="1"/>
                <w:color w:val="auto"/>
                <w:w w:val="89"/>
              </w:rPr>
              <w:t>$</w:t>
            </w:r>
          </w:p>
        </w:tc>
        <w:tc>
          <w:tcPr>
            <w:tcW w:w="1480" w:type="dxa"/>
            <w:vAlign w:val="bottom"/>
            <w:tcBorders>
              <w:right w:val="single" w:sz="8" w:color="123054"/>
            </w:tcBorders>
            <w:shd w:val="clear" w:color="auto" w:fill="E4E4E4"/>
          </w:tcPr>
          <w:p>
            <w:pPr>
              <w:jc w:val="right"/>
              <w:ind w:right="287"/>
              <w:spacing w:after="0"/>
              <w:rPr>
                <w:sz w:val="20"/>
                <w:szCs w:val="20"/>
                <w:color w:val="auto"/>
              </w:rPr>
            </w:pPr>
            <w:r>
              <w:rPr>
                <w:rFonts w:ascii="Arial" w:cs="Arial" w:eastAsia="Arial" w:hAnsi="Arial"/>
                <w:sz w:val="20"/>
                <w:szCs w:val="20"/>
                <w:b w:val="1"/>
                <w:bCs w:val="1"/>
                <w:color w:val="auto"/>
              </w:rPr>
              <w:t>287.0</w:t>
            </w:r>
          </w:p>
        </w:tc>
        <w:tc>
          <w:tcPr>
            <w:tcW w:w="2040" w:type="dxa"/>
            <w:vAlign w:val="bottom"/>
            <w:shd w:val="clear" w:color="auto" w:fill="E4E4E4"/>
          </w:tcPr>
          <w:p>
            <w:pPr>
              <w:jc w:val="right"/>
              <w:ind w:right="261"/>
              <w:spacing w:after="0"/>
              <w:rPr>
                <w:sz w:val="20"/>
                <w:szCs w:val="20"/>
                <w:color w:val="auto"/>
              </w:rPr>
            </w:pPr>
            <w:r>
              <w:rPr>
                <w:rFonts w:ascii="Arial" w:cs="Arial" w:eastAsia="Arial" w:hAnsi="Arial"/>
                <w:sz w:val="20"/>
                <w:szCs w:val="20"/>
                <w:b w:val="1"/>
                <w:bCs w:val="1"/>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right="360" w:hanging="10"/>
        <w:spacing w:after="0" w:line="281" w:lineRule="auto"/>
        <w:tabs>
          <w:tab w:leader="none" w:pos="213"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See the Appendix to this Proxy Statement for a reconciliation of Adjusted Operating Income to its most directly comparable GAAP measure, Operating Income.</w:t>
      </w:r>
    </w:p>
    <w:p>
      <w:pPr>
        <w:spacing w:after="0" w:line="102" w:lineRule="exact"/>
        <w:rPr>
          <w:sz w:val="20"/>
          <w:szCs w:val="20"/>
          <w:color w:val="auto"/>
        </w:rPr>
      </w:pPr>
    </w:p>
    <w:p>
      <w:pPr>
        <w:ind w:left="140" w:right="180"/>
        <w:spacing w:after="0" w:line="262" w:lineRule="auto"/>
        <w:rPr>
          <w:sz w:val="20"/>
          <w:szCs w:val="20"/>
          <w:color w:val="auto"/>
        </w:rPr>
      </w:pPr>
      <w:r>
        <w:rPr>
          <w:rFonts w:ascii="Arial" w:cs="Arial" w:eastAsia="Arial" w:hAnsi="Arial"/>
          <w:sz w:val="20"/>
          <w:szCs w:val="20"/>
          <w:color w:val="auto"/>
        </w:rPr>
        <w:t>In January2025, the Committee determined that based on Carter's performance noted above, as well as the achievement of25%of the strategic objectives, Carter's achieved an overall performance5%at of Target, with the payouts to our NEOs as follows:</w:t>
      </w:r>
    </w:p>
    <w:tbl>
      <w:tblPr>
        <w:tblLayout w:type="fixed"/>
        <w:tblInd w:w="120" w:type="dxa"/>
        <w:tblCellMar>
          <w:top w:w="0" w:type="dxa"/>
          <w:left w:w="0" w:type="dxa"/>
          <w:bottom w:w="0" w:type="dxa"/>
          <w:right w:w="0" w:type="dxa"/>
        </w:tblCellMar>
      </w:tblPr>
      <w:tr>
        <w:trPr>
          <w:trHeight w:val="203"/>
        </w:trPr>
        <w:tc>
          <w:tcPr>
            <w:tcW w:w="5340" w:type="dxa"/>
            <w:vAlign w:val="bottom"/>
            <w:tcBorders>
              <w:right w:val="single" w:sz="8" w:color="123054"/>
            </w:tcBorders>
          </w:tcPr>
          <w:p>
            <w:pPr>
              <w:spacing w:after="0"/>
              <w:rPr>
                <w:sz w:val="17"/>
                <w:szCs w:val="17"/>
                <w:color w:val="auto"/>
              </w:rPr>
            </w:pPr>
          </w:p>
        </w:tc>
        <w:tc>
          <w:tcPr>
            <w:tcW w:w="140" w:type="dxa"/>
            <w:vAlign w:val="bottom"/>
            <w:shd w:val="clear" w:color="auto" w:fill="123054"/>
          </w:tcPr>
          <w:p>
            <w:pPr>
              <w:spacing w:after="0"/>
              <w:rPr>
                <w:sz w:val="17"/>
                <w:szCs w:val="17"/>
                <w:color w:val="auto"/>
              </w:rPr>
            </w:pPr>
          </w:p>
        </w:tc>
        <w:tc>
          <w:tcPr>
            <w:tcW w:w="1460" w:type="dxa"/>
            <w:vAlign w:val="bottom"/>
            <w:tcBorders>
              <w:right w:val="single" w:sz="8" w:color="123054"/>
            </w:tcBorders>
            <w:shd w:val="clear" w:color="auto" w:fill="123054"/>
          </w:tcPr>
          <w:p>
            <w:pPr>
              <w:jc w:val="right"/>
              <w:ind w:right="61"/>
              <w:spacing w:after="0" w:line="204" w:lineRule="exact"/>
              <w:rPr>
                <w:sz w:val="20"/>
                <w:szCs w:val="20"/>
                <w:color w:val="auto"/>
              </w:rPr>
            </w:pPr>
            <w:r>
              <w:rPr>
                <w:rFonts w:ascii="Arial" w:cs="Arial" w:eastAsia="Arial" w:hAnsi="Arial"/>
                <w:sz w:val="20"/>
                <w:szCs w:val="20"/>
                <w:b w:val="1"/>
                <w:bCs w:val="1"/>
                <w:color w:val="FBFBFB"/>
              </w:rPr>
              <w:t>Annual Cash</w:t>
            </w:r>
          </w:p>
        </w:tc>
        <w:tc>
          <w:tcPr>
            <w:tcW w:w="160" w:type="dxa"/>
            <w:vAlign w:val="bottom"/>
            <w:shd w:val="clear" w:color="auto" w:fill="123054"/>
          </w:tcPr>
          <w:p>
            <w:pPr>
              <w:spacing w:after="0"/>
              <w:rPr>
                <w:sz w:val="17"/>
                <w:szCs w:val="17"/>
                <w:color w:val="auto"/>
              </w:rPr>
            </w:pPr>
          </w:p>
        </w:tc>
        <w:tc>
          <w:tcPr>
            <w:tcW w:w="1500" w:type="dxa"/>
            <w:vAlign w:val="bottom"/>
            <w:shd w:val="clear" w:color="auto" w:fill="123054"/>
          </w:tcPr>
          <w:p>
            <w:pPr>
              <w:jc w:val="right"/>
              <w:ind w:right="61"/>
              <w:spacing w:after="0" w:line="204" w:lineRule="exact"/>
              <w:rPr>
                <w:sz w:val="20"/>
                <w:szCs w:val="20"/>
                <w:color w:val="auto"/>
              </w:rPr>
            </w:pPr>
            <w:r>
              <w:rPr>
                <w:rFonts w:ascii="Arial" w:cs="Arial" w:eastAsia="Arial" w:hAnsi="Arial"/>
                <w:sz w:val="20"/>
                <w:szCs w:val="20"/>
                <w:b w:val="1"/>
                <w:bCs w:val="1"/>
                <w:color w:val="FBFBFB"/>
              </w:rPr>
              <w:t>Annual Cash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340" w:type="dxa"/>
            <w:vAlign w:val="bottom"/>
            <w:tcBorders>
              <w:right w:val="single" w:sz="8" w:color="123054"/>
            </w:tcBorders>
          </w:tcPr>
          <w:p>
            <w:pPr>
              <w:spacing w:after="0"/>
              <w:rPr>
                <w:sz w:val="19"/>
                <w:szCs w:val="19"/>
                <w:color w:val="auto"/>
              </w:rPr>
            </w:pPr>
          </w:p>
        </w:tc>
        <w:tc>
          <w:tcPr>
            <w:tcW w:w="140" w:type="dxa"/>
            <w:vAlign w:val="bottom"/>
            <w:shd w:val="clear" w:color="auto" w:fill="123054"/>
          </w:tcPr>
          <w:p>
            <w:pPr>
              <w:spacing w:after="0"/>
              <w:rPr>
                <w:sz w:val="19"/>
                <w:szCs w:val="19"/>
                <w:color w:val="auto"/>
              </w:rPr>
            </w:pPr>
          </w:p>
        </w:tc>
        <w:tc>
          <w:tcPr>
            <w:tcW w:w="1460" w:type="dxa"/>
            <w:vAlign w:val="bottom"/>
            <w:tcBorders>
              <w:right w:val="single" w:sz="8" w:color="123054"/>
            </w:tcBorders>
            <w:shd w:val="clear" w:color="auto" w:fill="123054"/>
          </w:tcPr>
          <w:p>
            <w:pPr>
              <w:jc w:val="right"/>
              <w:ind w:right="281"/>
              <w:spacing w:after="0" w:line="226" w:lineRule="exact"/>
              <w:rPr>
                <w:sz w:val="20"/>
                <w:szCs w:val="20"/>
                <w:color w:val="auto"/>
              </w:rPr>
            </w:pPr>
            <w:r>
              <w:rPr>
                <w:rFonts w:ascii="Arial" w:cs="Arial" w:eastAsia="Arial" w:hAnsi="Arial"/>
                <w:sz w:val="20"/>
                <w:szCs w:val="20"/>
                <w:b w:val="1"/>
                <w:bCs w:val="1"/>
                <w:color w:val="FBFBFB"/>
              </w:rPr>
              <w:t>Incentive</w:t>
            </w:r>
          </w:p>
        </w:tc>
        <w:tc>
          <w:tcPr>
            <w:tcW w:w="160" w:type="dxa"/>
            <w:vAlign w:val="bottom"/>
            <w:shd w:val="clear" w:color="auto" w:fill="123054"/>
          </w:tcPr>
          <w:p>
            <w:pPr>
              <w:spacing w:after="0"/>
              <w:rPr>
                <w:sz w:val="19"/>
                <w:szCs w:val="19"/>
                <w:color w:val="auto"/>
              </w:rPr>
            </w:pPr>
          </w:p>
        </w:tc>
        <w:tc>
          <w:tcPr>
            <w:tcW w:w="1500" w:type="dxa"/>
            <w:vAlign w:val="bottom"/>
            <w:shd w:val="clear" w:color="auto" w:fill="123054"/>
          </w:tcPr>
          <w:p>
            <w:pPr>
              <w:jc w:val="center"/>
              <w:ind w:right="21"/>
              <w:spacing w:after="0" w:line="226" w:lineRule="exact"/>
              <w:rPr>
                <w:sz w:val="20"/>
                <w:szCs w:val="20"/>
                <w:color w:val="auto"/>
              </w:rPr>
            </w:pPr>
            <w:r>
              <w:rPr>
                <w:rFonts w:ascii="Arial" w:cs="Arial" w:eastAsia="Arial" w:hAnsi="Arial"/>
                <w:sz w:val="20"/>
                <w:szCs w:val="20"/>
                <w:b w:val="1"/>
                <w:bCs w:val="1"/>
                <w:color w:val="FBFBFB"/>
                <w:w w:val="99"/>
              </w:rPr>
              <w:t>Incentive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Borders>
              <w:right w:val="single" w:sz="8" w:color="123054"/>
            </w:tcBorders>
          </w:tcPr>
          <w:p>
            <w:pPr>
              <w:spacing w:after="0"/>
              <w:rPr>
                <w:sz w:val="18"/>
                <w:szCs w:val="18"/>
                <w:color w:val="auto"/>
              </w:rPr>
            </w:pPr>
          </w:p>
        </w:tc>
        <w:tc>
          <w:tcPr>
            <w:tcW w:w="140" w:type="dxa"/>
            <w:vAlign w:val="bottom"/>
            <w:shd w:val="clear" w:color="auto" w:fill="123054"/>
          </w:tcPr>
          <w:p>
            <w:pPr>
              <w:spacing w:after="0"/>
              <w:rPr>
                <w:sz w:val="18"/>
                <w:szCs w:val="18"/>
                <w:color w:val="auto"/>
              </w:rPr>
            </w:pPr>
          </w:p>
        </w:tc>
        <w:tc>
          <w:tcPr>
            <w:tcW w:w="1460" w:type="dxa"/>
            <w:vAlign w:val="bottom"/>
            <w:tcBorders>
              <w:right w:val="single" w:sz="8" w:color="123054"/>
            </w:tcBorders>
            <w:shd w:val="clear" w:color="auto" w:fill="123054"/>
          </w:tcPr>
          <w:p>
            <w:pPr>
              <w:jc w:val="right"/>
              <w:spacing w:after="0" w:line="216" w:lineRule="exact"/>
              <w:rPr>
                <w:sz w:val="20"/>
                <w:szCs w:val="20"/>
                <w:color w:val="auto"/>
              </w:rPr>
            </w:pPr>
            <w:r>
              <w:rPr>
                <w:rFonts w:ascii="Arial" w:cs="Arial" w:eastAsia="Arial" w:hAnsi="Arial"/>
                <w:sz w:val="20"/>
                <w:szCs w:val="20"/>
                <w:b w:val="1"/>
                <w:bCs w:val="1"/>
                <w:color w:val="FBFBFB"/>
                <w:w w:val="97"/>
              </w:rPr>
              <w:t>Compensation</w:t>
            </w:r>
          </w:p>
        </w:tc>
        <w:tc>
          <w:tcPr>
            <w:tcW w:w="160" w:type="dxa"/>
            <w:vAlign w:val="bottom"/>
            <w:shd w:val="clear" w:color="auto" w:fill="123054"/>
          </w:tcPr>
          <w:p>
            <w:pPr>
              <w:spacing w:after="0"/>
              <w:rPr>
                <w:sz w:val="18"/>
                <w:szCs w:val="18"/>
                <w:color w:val="auto"/>
              </w:rPr>
            </w:pPr>
          </w:p>
        </w:tc>
        <w:tc>
          <w:tcPr>
            <w:tcW w:w="1500" w:type="dxa"/>
            <w:vAlign w:val="bottom"/>
            <w:shd w:val="clear" w:color="auto" w:fill="123054"/>
          </w:tcPr>
          <w:p>
            <w:pPr>
              <w:jc w:val="right"/>
              <w:ind w:right="1"/>
              <w:spacing w:after="0" w:line="216" w:lineRule="exact"/>
              <w:rPr>
                <w:sz w:val="20"/>
                <w:szCs w:val="20"/>
                <w:color w:val="auto"/>
              </w:rPr>
            </w:pPr>
            <w:r>
              <w:rPr>
                <w:rFonts w:ascii="Arial" w:cs="Arial" w:eastAsia="Arial" w:hAnsi="Arial"/>
                <w:sz w:val="20"/>
                <w:szCs w:val="20"/>
                <w:b w:val="1"/>
                <w:bCs w:val="1"/>
                <w:color w:val="FBFBFB"/>
                <w:w w:val="99"/>
              </w:rPr>
              <w:t>Compensation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Borders>
              <w:right w:val="single" w:sz="8" w:color="123054"/>
            </w:tcBorders>
          </w:tcPr>
          <w:p>
            <w:pPr>
              <w:spacing w:after="0"/>
              <w:rPr>
                <w:sz w:val="19"/>
                <w:szCs w:val="19"/>
                <w:color w:val="auto"/>
              </w:rPr>
            </w:pPr>
          </w:p>
        </w:tc>
        <w:tc>
          <w:tcPr>
            <w:tcW w:w="140" w:type="dxa"/>
            <w:vAlign w:val="bottom"/>
            <w:shd w:val="clear" w:color="auto" w:fill="123054"/>
          </w:tcPr>
          <w:p>
            <w:pPr>
              <w:spacing w:after="0"/>
              <w:rPr>
                <w:sz w:val="19"/>
                <w:szCs w:val="19"/>
                <w:color w:val="auto"/>
              </w:rPr>
            </w:pPr>
          </w:p>
        </w:tc>
        <w:tc>
          <w:tcPr>
            <w:tcW w:w="1460" w:type="dxa"/>
            <w:vAlign w:val="bottom"/>
            <w:tcBorders>
              <w:right w:val="single" w:sz="8" w:color="123054"/>
            </w:tcBorders>
            <w:shd w:val="clear" w:color="auto" w:fill="123054"/>
          </w:tcPr>
          <w:p>
            <w:pPr>
              <w:jc w:val="right"/>
              <w:ind w:right="201"/>
              <w:spacing w:after="0"/>
              <w:rPr>
                <w:sz w:val="20"/>
                <w:szCs w:val="20"/>
                <w:color w:val="auto"/>
              </w:rPr>
            </w:pPr>
            <w:r>
              <w:rPr>
                <w:rFonts w:ascii="Arial" w:cs="Arial" w:eastAsia="Arial" w:hAnsi="Arial"/>
                <w:sz w:val="20"/>
                <w:szCs w:val="20"/>
                <w:b w:val="1"/>
                <w:bCs w:val="1"/>
                <w:color w:val="FBFBFB"/>
              </w:rPr>
              <w:t>Targets ($)</w:t>
            </w:r>
          </w:p>
        </w:tc>
        <w:tc>
          <w:tcPr>
            <w:tcW w:w="160" w:type="dxa"/>
            <w:vAlign w:val="bottom"/>
            <w:shd w:val="clear" w:color="auto" w:fill="123054"/>
          </w:tcPr>
          <w:p>
            <w:pPr>
              <w:spacing w:after="0"/>
              <w:rPr>
                <w:sz w:val="19"/>
                <w:szCs w:val="19"/>
                <w:color w:val="auto"/>
              </w:rPr>
            </w:pPr>
          </w:p>
        </w:tc>
        <w:tc>
          <w:tcPr>
            <w:tcW w:w="1500" w:type="dxa"/>
            <w:vAlign w:val="bottom"/>
            <w:shd w:val="clear" w:color="auto" w:fill="123054"/>
          </w:tcPr>
          <w:p>
            <w:pPr>
              <w:jc w:val="center"/>
              <w:spacing w:after="0"/>
              <w:rPr>
                <w:sz w:val="20"/>
                <w:szCs w:val="20"/>
                <w:color w:val="auto"/>
              </w:rPr>
            </w:pPr>
            <w:r>
              <w:rPr>
                <w:rFonts w:ascii="Arial" w:cs="Arial" w:eastAsia="Arial" w:hAnsi="Arial"/>
                <w:sz w:val="20"/>
                <w:szCs w:val="20"/>
                <w:b w:val="1"/>
                <w:bCs w:val="1"/>
                <w:color w:val="FBFBFB"/>
                <w:w w:val="98"/>
              </w:rPr>
              <w:t>Actually Paid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340" w:type="dxa"/>
            <w:vAlign w:val="bottom"/>
            <w:tcBorders>
              <w:right w:val="single" w:sz="8" w:color="123054"/>
            </w:tcBorders>
          </w:tcPr>
          <w:p>
            <w:pPr>
              <w:spacing w:after="0"/>
              <w:rPr>
                <w:sz w:val="16"/>
                <w:szCs w:val="16"/>
                <w:color w:val="auto"/>
              </w:rPr>
            </w:pPr>
          </w:p>
        </w:tc>
        <w:tc>
          <w:tcPr>
            <w:tcW w:w="140" w:type="dxa"/>
            <w:vAlign w:val="bottom"/>
            <w:shd w:val="clear" w:color="auto" w:fill="123054"/>
          </w:tcPr>
          <w:p>
            <w:pPr>
              <w:spacing w:after="0"/>
              <w:rPr>
                <w:sz w:val="16"/>
                <w:szCs w:val="16"/>
                <w:color w:val="auto"/>
              </w:rPr>
            </w:pPr>
          </w:p>
        </w:tc>
        <w:tc>
          <w:tcPr>
            <w:tcW w:w="1460" w:type="dxa"/>
            <w:vAlign w:val="bottom"/>
            <w:tcBorders>
              <w:right w:val="single" w:sz="8" w:color="123054"/>
            </w:tcBorders>
            <w:shd w:val="clear" w:color="auto" w:fill="123054"/>
          </w:tcPr>
          <w:p>
            <w:pPr>
              <w:spacing w:after="0"/>
              <w:rPr>
                <w:sz w:val="16"/>
                <w:szCs w:val="16"/>
                <w:color w:val="auto"/>
              </w:rPr>
            </w:pPr>
          </w:p>
        </w:tc>
        <w:tc>
          <w:tcPr>
            <w:tcW w:w="160" w:type="dxa"/>
            <w:vAlign w:val="bottom"/>
            <w:shd w:val="clear" w:color="auto" w:fill="123054"/>
          </w:tcPr>
          <w:p>
            <w:pPr>
              <w:spacing w:after="0"/>
              <w:rPr>
                <w:sz w:val="16"/>
                <w:szCs w:val="16"/>
                <w:color w:val="auto"/>
              </w:rPr>
            </w:pPr>
          </w:p>
        </w:tc>
        <w:tc>
          <w:tcPr>
            <w:tcW w:w="1500" w:type="dxa"/>
            <w:vAlign w:val="bottom"/>
            <w:shd w:val="clear" w:color="auto" w:fill="123054"/>
          </w:tcPr>
          <w:p>
            <w:pPr>
              <w:jc w:val="center"/>
              <w:ind w:right="41"/>
              <w:spacing w:after="0" w:line="192" w:lineRule="exact"/>
              <w:rPr>
                <w:sz w:val="20"/>
                <w:szCs w:val="20"/>
                <w:color w:val="auto"/>
              </w:rPr>
            </w:pPr>
            <w:r>
              <w:rPr>
                <w:rFonts w:ascii="Arial" w:cs="Arial" w:eastAsia="Arial" w:hAnsi="Arial"/>
                <w:sz w:val="20"/>
                <w:szCs w:val="20"/>
                <w:b w:val="1"/>
                <w:bCs w:val="1"/>
                <w:color w:val="FBFBFB"/>
                <w:w w:val="99"/>
              </w:rPr>
              <w:t>at 5%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340" w:type="dxa"/>
            <w:vAlign w:val="bottom"/>
            <w:tcBorders>
              <w:bottom w:val="single" w:sz="8" w:color="123054"/>
              <w:right w:val="single" w:sz="8" w:color="123054"/>
            </w:tcBorders>
          </w:tcPr>
          <w:p>
            <w:pPr>
              <w:spacing w:after="0"/>
              <w:rPr>
                <w:sz w:val="23"/>
                <w:szCs w:val="23"/>
                <w:color w:val="auto"/>
              </w:rPr>
            </w:pPr>
          </w:p>
        </w:tc>
        <w:tc>
          <w:tcPr>
            <w:tcW w:w="140" w:type="dxa"/>
            <w:vAlign w:val="bottom"/>
            <w:tcBorders>
              <w:bottom w:val="single" w:sz="8" w:color="123054"/>
            </w:tcBorders>
            <w:shd w:val="clear" w:color="auto" w:fill="123054"/>
          </w:tcPr>
          <w:p>
            <w:pPr>
              <w:spacing w:after="0"/>
              <w:rPr>
                <w:sz w:val="23"/>
                <w:szCs w:val="23"/>
                <w:color w:val="auto"/>
              </w:rPr>
            </w:pPr>
          </w:p>
        </w:tc>
        <w:tc>
          <w:tcPr>
            <w:tcW w:w="1460" w:type="dxa"/>
            <w:vAlign w:val="bottom"/>
            <w:tcBorders>
              <w:bottom w:val="single" w:sz="8" w:color="123054"/>
              <w:right w:val="single" w:sz="8" w:color="123054"/>
            </w:tcBorders>
            <w:shd w:val="clear" w:color="auto" w:fill="123054"/>
          </w:tcPr>
          <w:p>
            <w:pPr>
              <w:spacing w:after="0"/>
              <w:rPr>
                <w:sz w:val="23"/>
                <w:szCs w:val="23"/>
                <w:color w:val="auto"/>
              </w:rPr>
            </w:pPr>
          </w:p>
        </w:tc>
        <w:tc>
          <w:tcPr>
            <w:tcW w:w="160" w:type="dxa"/>
            <w:vAlign w:val="bottom"/>
            <w:tcBorders>
              <w:bottom w:val="single" w:sz="8" w:color="123054"/>
            </w:tcBorders>
            <w:shd w:val="clear" w:color="auto" w:fill="123054"/>
          </w:tcPr>
          <w:p>
            <w:pPr>
              <w:spacing w:after="0"/>
              <w:rPr>
                <w:sz w:val="23"/>
                <w:szCs w:val="23"/>
                <w:color w:val="auto"/>
              </w:rPr>
            </w:pPr>
          </w:p>
        </w:tc>
        <w:tc>
          <w:tcPr>
            <w:tcW w:w="1500" w:type="dxa"/>
            <w:vAlign w:val="bottom"/>
            <w:tcBorders>
              <w:bottom w:val="single" w:sz="8" w:color="123054"/>
            </w:tcBorders>
            <w:shd w:val="clear" w:color="auto" w:fill="123054"/>
          </w:tcPr>
          <w:p>
            <w:pPr>
              <w:jc w:val="center"/>
              <w:ind w:right="41"/>
              <w:spacing w:after="0"/>
              <w:rPr>
                <w:sz w:val="20"/>
                <w:szCs w:val="20"/>
                <w:color w:val="auto"/>
              </w:rPr>
            </w:pPr>
            <w:r>
              <w:rPr>
                <w:rFonts w:ascii="Arial" w:cs="Arial" w:eastAsia="Arial" w:hAnsi="Arial"/>
                <w:sz w:val="20"/>
                <w:szCs w:val="20"/>
                <w:b w:val="1"/>
                <w:bCs w:val="1"/>
                <w:color w:val="FBFBFB"/>
                <w:w w:val="96"/>
              </w:rPr>
              <w:t>Target ($)</w:t>
            </w:r>
          </w:p>
        </w:tc>
        <w:tc>
          <w:tcPr>
            <w:tcW w:w="20" w:type="dxa"/>
            <w:vAlign w:val="bottom"/>
            <w:tcBorders>
              <w:bottom w:val="single" w:sz="8" w:color="123054"/>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34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Richard F. Westenberger</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tcPr>
          <w:p>
            <w:pPr>
              <w:jc w:val="right"/>
              <w:ind w:right="41"/>
              <w:spacing w:after="0"/>
              <w:rPr>
                <w:sz w:val="20"/>
                <w:szCs w:val="20"/>
                <w:color w:val="auto"/>
              </w:rPr>
            </w:pPr>
            <w:r>
              <w:rPr>
                <w:rFonts w:ascii="Arial" w:cs="Arial" w:eastAsia="Arial" w:hAnsi="Arial"/>
                <w:sz w:val="20"/>
                <w:szCs w:val="20"/>
                <w:color w:val="auto"/>
              </w:rPr>
              <w:t>658,750</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33,000</w:t>
            </w:r>
          </w:p>
        </w:tc>
        <w:tc>
          <w:tcPr>
            <w:tcW w:w="20" w:type="dxa"/>
            <w:vAlign w:val="bottom"/>
            <w:shd w:val="clear" w:color="auto" w:fill="123054"/>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3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20"/>
                <w:szCs w:val="20"/>
                <w:color w:val="auto"/>
              </w:rPr>
              <w:t>Kendra D. Krugman</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shd w:val="clear" w:color="auto" w:fill="E4E4E4"/>
          </w:tcPr>
          <w:p>
            <w:pPr>
              <w:jc w:val="right"/>
              <w:ind w:right="41"/>
              <w:spacing w:after="0"/>
              <w:rPr>
                <w:sz w:val="20"/>
                <w:szCs w:val="20"/>
                <w:color w:val="auto"/>
              </w:rPr>
            </w:pPr>
            <w:r>
              <w:rPr>
                <w:rFonts w:ascii="Arial" w:cs="Arial" w:eastAsia="Arial" w:hAnsi="Arial"/>
                <w:sz w:val="20"/>
                <w:szCs w:val="20"/>
                <w:color w:val="auto"/>
              </w:rPr>
              <w:t>658,750</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33,000</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40" w:type="dxa"/>
            <w:vAlign w:val="bottom"/>
            <w:tcBorders>
              <w:right w:val="single" w:sz="8" w:color="123054"/>
            </w:tcBorders>
          </w:tcPr>
          <w:p>
            <w:pPr>
              <w:ind w:left="1720"/>
              <w:spacing w:after="0" w:line="135" w:lineRule="exact"/>
              <w:rPr>
                <w:sz w:val="20"/>
                <w:szCs w:val="20"/>
                <w:color w:val="auto"/>
              </w:rPr>
            </w:pPr>
            <w:r>
              <w:rPr>
                <w:rFonts w:ascii="Arial" w:cs="Arial" w:eastAsia="Arial" w:hAnsi="Arial"/>
                <w:sz w:val="13"/>
                <w:szCs w:val="13"/>
                <w:color w:val="auto"/>
              </w:rPr>
              <w:t>1</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vMerge w:val="restart"/>
          </w:tcPr>
          <w:p>
            <w:pPr>
              <w:jc w:val="right"/>
              <w:ind w:right="41"/>
              <w:spacing w:after="0"/>
              <w:rPr>
                <w:sz w:val="20"/>
                <w:szCs w:val="20"/>
                <w:color w:val="auto"/>
              </w:rPr>
            </w:pPr>
            <w:r>
              <w:rPr>
                <w:rFonts w:ascii="Arial" w:cs="Arial" w:eastAsia="Arial" w:hAnsi="Arial"/>
                <w:sz w:val="20"/>
                <w:szCs w:val="20"/>
                <w:color w:val="auto"/>
              </w:rPr>
              <w:t>272,774</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500" w:type="dxa"/>
            <w:vAlign w:val="bottom"/>
            <w:vMerge w:val="restart"/>
          </w:tcPr>
          <w:p>
            <w:pPr>
              <w:jc w:val="right"/>
              <w:spacing w:after="0"/>
              <w:rPr>
                <w:sz w:val="20"/>
                <w:szCs w:val="20"/>
                <w:color w:val="auto"/>
              </w:rPr>
            </w:pPr>
            <w:r>
              <w:rPr>
                <w:rFonts w:ascii="Arial" w:cs="Arial" w:eastAsia="Arial" w:hAnsi="Arial"/>
                <w:sz w:val="20"/>
                <w:szCs w:val="20"/>
                <w:color w:val="auto"/>
              </w:rPr>
              <w:t>13,700</w:t>
            </w:r>
          </w:p>
        </w:tc>
        <w:tc>
          <w:tcPr>
            <w:tcW w:w="20" w:type="dxa"/>
            <w:vAlign w:val="bottom"/>
            <w:shd w:val="clear" w:color="auto" w:fill="123054"/>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Borders>
              <w:right w:val="single" w:sz="8" w:color="123054"/>
            </w:tcBorders>
          </w:tcPr>
          <w:p>
            <w:pPr>
              <w:ind w:left="140"/>
              <w:spacing w:after="0" w:line="148" w:lineRule="exact"/>
              <w:rPr>
                <w:sz w:val="20"/>
                <w:szCs w:val="20"/>
                <w:color w:val="auto"/>
              </w:rPr>
            </w:pPr>
            <w:r>
              <w:rPr>
                <w:rFonts w:ascii="Arial" w:cs="Arial" w:eastAsia="Arial" w:hAnsi="Arial"/>
                <w:sz w:val="16"/>
                <w:szCs w:val="16"/>
                <w:color w:val="auto"/>
              </w:rPr>
              <w:t>Allison M. Peterson</w:t>
            </w:r>
          </w:p>
        </w:tc>
        <w:tc>
          <w:tcPr>
            <w:tcW w:w="140" w:type="dxa"/>
            <w:vAlign w:val="bottom"/>
            <w:vMerge w:val="continue"/>
          </w:tcPr>
          <w:p>
            <w:pPr>
              <w:spacing w:after="0"/>
              <w:rPr>
                <w:sz w:val="12"/>
                <w:szCs w:val="12"/>
                <w:color w:val="auto"/>
              </w:rPr>
            </w:pPr>
          </w:p>
        </w:tc>
        <w:tc>
          <w:tcPr>
            <w:tcW w:w="1460" w:type="dxa"/>
            <w:vAlign w:val="bottom"/>
            <w:tcBorders>
              <w:right w:val="single" w:sz="8" w:color="123054"/>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0" w:type="dxa"/>
            <w:vAlign w:val="bottom"/>
            <w:shd w:val="clear" w:color="auto" w:fill="123054"/>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40" w:type="dxa"/>
            <w:vAlign w:val="bottom"/>
            <w:tcBorders>
              <w:right w:val="single" w:sz="8" w:color="123054"/>
            </w:tcBorders>
            <w:shd w:val="clear" w:color="auto" w:fill="E4E4E4"/>
          </w:tcPr>
          <w:p>
            <w:pPr>
              <w:ind w:left="1260"/>
              <w:spacing w:after="0" w:line="135" w:lineRule="exact"/>
              <w:rPr>
                <w:sz w:val="20"/>
                <w:szCs w:val="20"/>
                <w:color w:val="auto"/>
              </w:rPr>
            </w:pPr>
            <w:r>
              <w:rPr>
                <w:rFonts w:ascii="Arial" w:cs="Arial" w:eastAsia="Arial" w:hAnsi="Arial"/>
                <w:sz w:val="13"/>
                <w:szCs w:val="13"/>
                <w:color w:val="auto"/>
              </w:rPr>
              <w:t>2</w:t>
            </w:r>
          </w:p>
        </w:tc>
        <w:tc>
          <w:tcPr>
            <w:tcW w:w="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vMerge w:val="restart"/>
            <w:shd w:val="clear" w:color="auto" w:fill="E4E4E4"/>
          </w:tcPr>
          <w:p>
            <w:pPr>
              <w:jc w:val="right"/>
              <w:ind w:right="41"/>
              <w:spacing w:after="0"/>
              <w:rPr>
                <w:sz w:val="20"/>
                <w:szCs w:val="20"/>
                <w:color w:val="auto"/>
              </w:rPr>
            </w:pPr>
            <w:r>
              <w:rPr>
                <w:rFonts w:ascii="Arial" w:cs="Arial" w:eastAsia="Arial" w:hAnsi="Arial"/>
                <w:sz w:val="20"/>
                <w:szCs w:val="20"/>
                <w:color w:val="auto"/>
              </w:rPr>
              <w:t>304,521</w:t>
            </w:r>
          </w:p>
        </w:tc>
        <w:tc>
          <w:tcPr>
            <w:tcW w:w="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5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15,300</w:t>
            </w:r>
          </w:p>
        </w:tc>
        <w:tc>
          <w:tcPr>
            <w:tcW w:w="20" w:type="dxa"/>
            <w:vAlign w:val="bottom"/>
            <w:shd w:val="clear" w:color="auto" w:fill="123054"/>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Borders>
              <w:right w:val="single" w:sz="8" w:color="123054"/>
            </w:tcBorders>
            <w:shd w:val="clear" w:color="auto" w:fill="E4E4E4"/>
          </w:tcPr>
          <w:p>
            <w:pPr>
              <w:ind w:left="140"/>
              <w:spacing w:after="0" w:line="148" w:lineRule="exact"/>
              <w:rPr>
                <w:sz w:val="20"/>
                <w:szCs w:val="20"/>
                <w:color w:val="auto"/>
              </w:rPr>
            </w:pPr>
            <w:r>
              <w:rPr>
                <w:rFonts w:ascii="Arial" w:cs="Arial" w:eastAsia="Arial" w:hAnsi="Arial"/>
                <w:sz w:val="16"/>
                <w:szCs w:val="16"/>
                <w:color w:val="auto"/>
              </w:rPr>
              <w:t>Raghu R. Sagi</w:t>
            </w:r>
          </w:p>
        </w:tc>
        <w:tc>
          <w:tcPr>
            <w:tcW w:w="140" w:type="dxa"/>
            <w:vAlign w:val="bottom"/>
            <w:vMerge w:val="continue"/>
            <w:shd w:val="clear" w:color="auto" w:fill="E4E4E4"/>
          </w:tcPr>
          <w:p>
            <w:pPr>
              <w:spacing w:after="0"/>
              <w:rPr>
                <w:sz w:val="12"/>
                <w:szCs w:val="12"/>
                <w:color w:val="auto"/>
              </w:rPr>
            </w:pPr>
          </w:p>
        </w:tc>
        <w:tc>
          <w:tcPr>
            <w:tcW w:w="1460" w:type="dxa"/>
            <w:vAlign w:val="bottom"/>
            <w:tcBorders>
              <w:right w:val="single" w:sz="8" w:color="123054"/>
            </w:tcBorders>
            <w:vMerge w:val="continue"/>
            <w:shd w:val="clear" w:color="auto" w:fill="E4E4E4"/>
          </w:tcPr>
          <w:p>
            <w:pPr>
              <w:spacing w:after="0"/>
              <w:rPr>
                <w:sz w:val="12"/>
                <w:szCs w:val="12"/>
                <w:color w:val="auto"/>
              </w:rPr>
            </w:pPr>
          </w:p>
        </w:tc>
        <w:tc>
          <w:tcPr>
            <w:tcW w:w="160" w:type="dxa"/>
            <w:vAlign w:val="bottom"/>
            <w:vMerge w:val="continue"/>
            <w:shd w:val="clear" w:color="auto" w:fill="E4E4E4"/>
          </w:tcPr>
          <w:p>
            <w:pPr>
              <w:spacing w:after="0"/>
              <w:rPr>
                <w:sz w:val="12"/>
                <w:szCs w:val="12"/>
                <w:color w:val="auto"/>
              </w:rPr>
            </w:pPr>
          </w:p>
        </w:tc>
        <w:tc>
          <w:tcPr>
            <w:tcW w:w="1500" w:type="dxa"/>
            <w:vAlign w:val="bottom"/>
            <w:vMerge w:val="continue"/>
            <w:shd w:val="clear" w:color="auto" w:fill="E4E4E4"/>
          </w:tcPr>
          <w:p>
            <w:pPr>
              <w:spacing w:after="0"/>
              <w:rPr>
                <w:sz w:val="12"/>
                <w:szCs w:val="12"/>
                <w:color w:val="auto"/>
              </w:rPr>
            </w:pPr>
          </w:p>
        </w:tc>
        <w:tc>
          <w:tcPr>
            <w:tcW w:w="20" w:type="dxa"/>
            <w:vAlign w:val="bottom"/>
            <w:shd w:val="clear" w:color="auto" w:fill="123054"/>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534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Michael D. Casey</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tcPr>
          <w:p>
            <w:pPr>
              <w:jc w:val="right"/>
              <w:ind w:right="21"/>
              <w:spacing w:after="0"/>
              <w:rPr>
                <w:sz w:val="20"/>
                <w:szCs w:val="20"/>
                <w:color w:val="auto"/>
              </w:rPr>
            </w:pPr>
            <w:r>
              <w:rPr>
                <w:rFonts w:ascii="Arial" w:cs="Arial" w:eastAsia="Arial" w:hAnsi="Arial"/>
                <w:sz w:val="20"/>
                <w:szCs w:val="20"/>
                <w:color w:val="auto"/>
              </w:rPr>
              <w:t>2,010,000</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100,500</w:t>
            </w:r>
          </w:p>
        </w:tc>
        <w:tc>
          <w:tcPr>
            <w:tcW w:w="2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340" w:type="dxa"/>
            <w:vAlign w:val="bottom"/>
            <w:tcBorders>
              <w:right w:val="single" w:sz="8" w:color="123054"/>
            </w:tcBorders>
            <w:shd w:val="clear" w:color="auto" w:fill="DBDBDB"/>
          </w:tcPr>
          <w:p>
            <w:pPr>
              <w:ind w:left="1300"/>
              <w:spacing w:after="0" w:line="137" w:lineRule="exact"/>
              <w:rPr>
                <w:sz w:val="20"/>
                <w:szCs w:val="20"/>
                <w:color w:val="auto"/>
              </w:rPr>
            </w:pPr>
            <w:r>
              <w:rPr>
                <w:rFonts w:ascii="Arial" w:cs="Arial" w:eastAsia="Arial" w:hAnsi="Arial"/>
                <w:sz w:val="13"/>
                <w:szCs w:val="13"/>
                <w:color w:val="auto"/>
              </w:rPr>
              <w:t>3</w:t>
            </w:r>
          </w:p>
        </w:tc>
        <w:tc>
          <w:tcPr>
            <w:tcW w:w="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123054"/>
            </w:tcBorders>
            <w:vMerge w:val="restart"/>
            <w:shd w:val="clear" w:color="auto" w:fill="E4E4E4"/>
          </w:tcPr>
          <w:p>
            <w:pPr>
              <w:jc w:val="right"/>
              <w:ind w:right="81"/>
              <w:spacing w:after="0"/>
              <w:rPr>
                <w:sz w:val="20"/>
                <w:szCs w:val="20"/>
                <w:color w:val="auto"/>
              </w:rPr>
            </w:pPr>
            <w:r>
              <w:rPr>
                <w:rFonts w:ascii="Arial" w:cs="Arial" w:eastAsia="Arial" w:hAnsi="Arial"/>
                <w:sz w:val="20"/>
                <w:szCs w:val="20"/>
                <w:color w:val="auto"/>
              </w:rPr>
              <w:t>—</w:t>
            </w:r>
          </w:p>
        </w:tc>
        <w:tc>
          <w:tcPr>
            <w:tcW w:w="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500" w:type="dxa"/>
            <w:vAlign w:val="bottom"/>
            <w:vMerge w:val="restart"/>
            <w:shd w:val="clear" w:color="auto" w:fill="E4E4E4"/>
          </w:tcPr>
          <w:p>
            <w:pPr>
              <w:jc w:val="right"/>
              <w:ind w:right="61"/>
              <w:spacing w:after="0"/>
              <w:rPr>
                <w:sz w:val="20"/>
                <w:szCs w:val="20"/>
                <w:color w:val="auto"/>
              </w:rPr>
            </w:pPr>
            <w:r>
              <w:rPr>
                <w:rFonts w:ascii="Arial" w:cs="Arial" w:eastAsia="Arial" w:hAnsi="Arial"/>
                <w:sz w:val="20"/>
                <w:szCs w:val="20"/>
                <w:color w:val="auto"/>
              </w:rPr>
              <w:t>—</w:t>
            </w:r>
          </w:p>
        </w:tc>
        <w:tc>
          <w:tcPr>
            <w:tcW w:w="20" w:type="dxa"/>
            <w:vAlign w:val="bottom"/>
            <w:shd w:val="clear" w:color="auto" w:fill="123054"/>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Borders>
              <w:right w:val="single" w:sz="8" w:color="123054"/>
            </w:tcBorders>
            <w:shd w:val="clear" w:color="auto" w:fill="DBDBDB"/>
          </w:tcPr>
          <w:p>
            <w:pPr>
              <w:ind w:left="140"/>
              <w:spacing w:after="0" w:line="148" w:lineRule="exact"/>
              <w:rPr>
                <w:sz w:val="20"/>
                <w:szCs w:val="20"/>
                <w:color w:val="auto"/>
              </w:rPr>
            </w:pPr>
            <w:r>
              <w:rPr>
                <w:rFonts w:ascii="Arial" w:cs="Arial" w:eastAsia="Arial" w:hAnsi="Arial"/>
                <w:sz w:val="16"/>
                <w:szCs w:val="16"/>
                <w:color w:val="auto"/>
              </w:rPr>
              <w:t>Brian J. Lynch</w:t>
            </w:r>
          </w:p>
        </w:tc>
        <w:tc>
          <w:tcPr>
            <w:tcW w:w="140" w:type="dxa"/>
            <w:vAlign w:val="bottom"/>
            <w:vMerge w:val="continue"/>
            <w:shd w:val="clear" w:color="auto" w:fill="E4E4E4"/>
          </w:tcPr>
          <w:p>
            <w:pPr>
              <w:spacing w:after="0"/>
              <w:rPr>
                <w:sz w:val="12"/>
                <w:szCs w:val="12"/>
                <w:color w:val="auto"/>
              </w:rPr>
            </w:pPr>
          </w:p>
        </w:tc>
        <w:tc>
          <w:tcPr>
            <w:tcW w:w="1460" w:type="dxa"/>
            <w:vAlign w:val="bottom"/>
            <w:tcBorders>
              <w:right w:val="single" w:sz="8" w:color="123054"/>
            </w:tcBorders>
            <w:vMerge w:val="continue"/>
            <w:shd w:val="clear" w:color="auto" w:fill="E4E4E4"/>
          </w:tcPr>
          <w:p>
            <w:pPr>
              <w:spacing w:after="0"/>
              <w:rPr>
                <w:sz w:val="12"/>
                <w:szCs w:val="12"/>
                <w:color w:val="auto"/>
              </w:rPr>
            </w:pPr>
          </w:p>
        </w:tc>
        <w:tc>
          <w:tcPr>
            <w:tcW w:w="160" w:type="dxa"/>
            <w:vAlign w:val="bottom"/>
            <w:vMerge w:val="continue"/>
            <w:shd w:val="clear" w:color="auto" w:fill="E4E4E4"/>
          </w:tcPr>
          <w:p>
            <w:pPr>
              <w:spacing w:after="0"/>
              <w:rPr>
                <w:sz w:val="12"/>
                <w:szCs w:val="12"/>
                <w:color w:val="auto"/>
              </w:rPr>
            </w:pPr>
          </w:p>
        </w:tc>
        <w:tc>
          <w:tcPr>
            <w:tcW w:w="1500" w:type="dxa"/>
            <w:vAlign w:val="bottom"/>
            <w:vMerge w:val="continue"/>
            <w:shd w:val="clear" w:color="auto" w:fill="E4E4E4"/>
          </w:tcPr>
          <w:p>
            <w:pPr>
              <w:spacing w:after="0"/>
              <w:rPr>
                <w:sz w:val="12"/>
                <w:szCs w:val="12"/>
                <w:color w:val="auto"/>
              </w:rPr>
            </w:pPr>
          </w:p>
        </w:tc>
        <w:tc>
          <w:tcPr>
            <w:tcW w:w="20" w:type="dxa"/>
            <w:vAlign w:val="bottom"/>
            <w:shd w:val="clear" w:color="auto" w:fill="123054"/>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0" w:hanging="70"/>
        <w:spacing w:after="0"/>
        <w:tabs>
          <w:tab w:leader="none" w:pos="20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Ms. Peterson joined Carter's in July 2024 and received a pro-rated bonus based on the number of days of service in 2024.</w:t>
      </w:r>
    </w:p>
    <w:p>
      <w:pPr>
        <w:spacing w:after="0" w:line="21" w:lineRule="exact"/>
        <w:rPr>
          <w:sz w:val="20"/>
          <w:szCs w:val="20"/>
          <w:color w:val="auto"/>
        </w:rPr>
      </w:pPr>
    </w:p>
    <w:p>
      <w:pPr>
        <w:ind w:left="200" w:hanging="70"/>
        <w:spacing w:after="0"/>
        <w:tabs>
          <w:tab w:leader="none" w:pos="20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Mr. Sagi joined Carter's in April 2024 and received a pro-rated bonus based on the number of days of service in 2024.</w:t>
      </w:r>
    </w:p>
    <w:p>
      <w:pPr>
        <w:ind w:left="140"/>
        <w:spacing w:after="0"/>
        <w:rPr>
          <w:rFonts w:ascii="Arial" w:cs="Arial" w:eastAsia="Arial" w:hAnsi="Arial"/>
          <w:sz w:val="18"/>
          <w:szCs w:val="18"/>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Mr. Lynch retired from Carter's in February 2024 and did not receive any 2024 annual cash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596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2024 LONG-TERM EQUITY INCENTIVE COMPENSATION</w:t>
      </w:r>
    </w:p>
    <w:p>
      <w:pPr>
        <w:spacing w:after="0" w:line="170" w:lineRule="exact"/>
        <w:rPr>
          <w:sz w:val="20"/>
          <w:szCs w:val="20"/>
          <w:color w:val="auto"/>
        </w:rPr>
      </w:pPr>
    </w:p>
    <w:p>
      <w:pPr>
        <w:ind w:left="140" w:right="80"/>
        <w:spacing w:after="0" w:line="258" w:lineRule="auto"/>
        <w:rPr>
          <w:sz w:val="20"/>
          <w:szCs w:val="20"/>
          <w:color w:val="auto"/>
        </w:rPr>
      </w:pPr>
      <w:r>
        <w:rPr>
          <w:rFonts w:ascii="Arial" w:cs="Arial" w:eastAsia="Arial" w:hAnsi="Arial"/>
          <w:sz w:val="20"/>
          <w:szCs w:val="20"/>
          <w:color w:val="auto"/>
        </w:rPr>
        <w:t>We provide long-term equity incentive awards to our NEOs to balance the short-term focus of the annual cash incentive program by tying a significant portion of total compensation to performance achieved by the Company over multi-year periods. The structure and design of our long-term equity incentive awards are designed to directly link the value of the awards granted to the NEOs with the Company’s long-term financial performance and increases in stockholder value.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AWARD MIX</w:t>
      </w:r>
    </w:p>
    <w:p>
      <w:pPr>
        <w:sectPr>
          <w:pgSz w:w="11900" w:h="16884" w:orient="portrait"/>
          <w:cols w:equalWidth="0" w:num="1">
            <w:col w:w="9340"/>
          </w:cols>
          <w:pgMar w:left="1440" w:top="104" w:right="1119" w:bottom="0" w:gutter="0" w:footer="0" w:header="0"/>
        </w:sectPr>
      </w:pPr>
    </w:p>
    <w:p>
      <w:pPr>
        <w:spacing w:after="0" w:line="251" w:lineRule="exact"/>
        <w:rPr>
          <w:sz w:val="20"/>
          <w:szCs w:val="20"/>
          <w:color w:val="auto"/>
        </w:rPr>
      </w:pPr>
    </w:p>
    <w:p>
      <w:pPr>
        <w:ind w:left="140"/>
        <w:spacing w:after="0" w:line="282" w:lineRule="auto"/>
        <w:rPr>
          <w:sz w:val="20"/>
          <w:szCs w:val="20"/>
          <w:color w:val="auto"/>
        </w:rPr>
      </w:pPr>
      <w:r>
        <w:rPr>
          <w:rFonts w:ascii="Arial" w:cs="Arial" w:eastAsia="Arial" w:hAnsi="Arial"/>
          <w:sz w:val="19"/>
          <w:szCs w:val="19"/>
          <w:color w:val="auto"/>
        </w:rPr>
        <w:t>In fiscal 2024, the Committee approved a 50%/50% mix of annual time-based restricted stock grants (which vest over four years in 25% increments on the annual anniversary of the grant date) and two types of three year performance-based restricted stock grants (PSAs) for each NEO. These grants reflect our</w:t>
      </w:r>
    </w:p>
    <w:p>
      <w:pPr>
        <w:sectPr>
          <w:pgSz w:w="11900" w:h="16884" w:orient="portrait"/>
          <w:cols w:equalWidth="0" w:num="1">
            <w:col w:w="9340"/>
          </w:cols>
          <w:pgMar w:left="1440" w:top="104" w:right="1119" w:bottom="0" w:gutter="0" w:footer="0" w:header="0"/>
          <w:type w:val="continuous"/>
        </w:sectPr>
      </w:pPr>
    </w:p>
    <w:bookmarkStart w:id="41" w:name="page42"/>
    <w:bookmarkEnd w:id="41"/>
    <w:p>
      <w:pPr>
        <w:ind w:left="140" w:right="480"/>
        <w:spacing w:after="0" w:line="228" w:lineRule="auto"/>
        <w:rPr>
          <w:sz w:val="20"/>
          <w:szCs w:val="20"/>
          <w:color w:val="auto"/>
        </w:rPr>
      </w:pPr>
      <w:r>
        <w:rPr>
          <w:rFonts w:ascii="Arial" w:cs="Arial" w:eastAsia="Arial" w:hAnsi="Arial"/>
          <w:sz w:val="20"/>
          <w:szCs w:val="20"/>
          <w:color w:val="auto"/>
        </w:rPr>
        <w:t>historical practice of awarding a combination of time-based and performance- based restricted stock to Carter’s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-254000</wp:posOffset>
            </wp:positionV>
            <wp:extent cx="6810375" cy="6259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6259830"/>
                    </a:xfrm>
                    <a:prstGeom prst="rect">
                      <a:avLst/>
                    </a:prstGeom>
                    <a:noFill/>
                  </pic:spPr>
                </pic:pic>
              </a:graphicData>
            </a:graphic>
          </wp:anchor>
        </w:drawing>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FISCAL 2024 LONG-TERM EQUITY INCENTIVE AWARD OPPORTUNITIES</w:t>
      </w:r>
    </w:p>
    <w:p>
      <w:pPr>
        <w:spacing w:after="0" w:line="251" w:lineRule="exact"/>
        <w:rPr>
          <w:sz w:val="20"/>
          <w:szCs w:val="20"/>
          <w:color w:val="auto"/>
        </w:rPr>
      </w:pPr>
    </w:p>
    <w:p>
      <w:pPr>
        <w:ind w:left="140" w:right="280"/>
        <w:spacing w:after="0" w:line="259" w:lineRule="auto"/>
        <w:rPr>
          <w:sz w:val="20"/>
          <w:szCs w:val="20"/>
          <w:color w:val="auto"/>
        </w:rPr>
      </w:pPr>
      <w:r>
        <w:rPr>
          <w:rFonts w:ascii="Arial" w:cs="Arial" w:eastAsia="Arial" w:hAnsi="Arial"/>
          <w:sz w:val="20"/>
          <w:szCs w:val="20"/>
          <w:color w:val="auto"/>
        </w:rPr>
        <w:t>Each NEO's annual equity grant is determined based on her or his performance, market pay data, and considerations of the competitiveness of their overall compensation package. Based on these factors, for Fiscal 2024 the Committee determined to grant long-term equity incentive awards to the NEOs with the aggregate grant date fair value shown below.</w:t>
      </w:r>
    </w:p>
    <w:tbl>
      <w:tblPr>
        <w:tblLayout w:type="fixed"/>
        <w:tblInd w:w="120" w:type="dxa"/>
        <w:tblCellMar>
          <w:top w:w="0" w:type="dxa"/>
          <w:left w:w="0" w:type="dxa"/>
          <w:bottom w:w="0" w:type="dxa"/>
          <w:right w:w="0" w:type="dxa"/>
        </w:tblCellMar>
      </w:tblPr>
      <w:tr>
        <w:trPr>
          <w:trHeight w:val="136"/>
        </w:trPr>
        <w:tc>
          <w:tcPr>
            <w:tcW w:w="2320" w:type="dxa"/>
            <w:vAlign w:val="bottom"/>
            <w:vMerge w:val="restart"/>
            <w:shd w:val="clear" w:color="auto" w:fill="123054"/>
          </w:tcPr>
          <w:p>
            <w:pPr>
              <w:ind w:left="60"/>
              <w:spacing w:after="0"/>
              <w:rPr>
                <w:sz w:val="20"/>
                <w:szCs w:val="20"/>
                <w:color w:val="auto"/>
              </w:rPr>
            </w:pPr>
            <w:r>
              <w:rPr>
                <w:rFonts w:ascii="Arial" w:cs="Arial" w:eastAsia="Arial" w:hAnsi="Arial"/>
                <w:sz w:val="20"/>
                <w:szCs w:val="20"/>
                <w:b w:val="1"/>
                <w:bCs w:val="1"/>
                <w:color w:val="FFFFFF"/>
              </w:rPr>
              <w:t>NEO</w:t>
            </w:r>
          </w:p>
        </w:tc>
        <w:tc>
          <w:tcPr>
            <w:tcW w:w="6440" w:type="dxa"/>
            <w:vAlign w:val="bottom"/>
            <w:shd w:val="clear" w:color="auto" w:fill="123054"/>
          </w:tcPr>
          <w:p>
            <w:pPr>
              <w:ind w:left="4260"/>
              <w:spacing w:after="0" w:line="136" w:lineRule="exact"/>
              <w:rPr>
                <w:sz w:val="20"/>
                <w:szCs w:val="20"/>
                <w:color w:val="auto"/>
              </w:rPr>
            </w:pPr>
            <w:r>
              <w:rPr>
                <w:rFonts w:ascii="Arial" w:cs="Arial" w:eastAsia="Arial" w:hAnsi="Arial"/>
                <w:sz w:val="13"/>
                <w:szCs w:val="13"/>
                <w:b w:val="1"/>
                <w:bCs w:val="1"/>
                <w:color w:val="FFFFFF"/>
              </w:rPr>
              <w:t>1</w:t>
            </w:r>
          </w:p>
        </w:tc>
        <w:tc>
          <w:tcPr>
            <w:tcW w:w="0" w:type="dxa"/>
            <w:vAlign w:val="bottom"/>
          </w:tcPr>
          <w:p>
            <w:pPr>
              <w:spacing w:after="0"/>
              <w:rPr>
                <w:sz w:val="1"/>
                <w:szCs w:val="1"/>
                <w:color w:val="auto"/>
              </w:rPr>
            </w:pPr>
          </w:p>
        </w:tc>
      </w:tr>
      <w:tr>
        <w:trPr>
          <w:trHeight w:val="162"/>
        </w:trPr>
        <w:tc>
          <w:tcPr>
            <w:tcW w:w="2320" w:type="dxa"/>
            <w:vAlign w:val="bottom"/>
            <w:vMerge w:val="continue"/>
            <w:shd w:val="clear" w:color="auto" w:fill="123054"/>
          </w:tcPr>
          <w:p>
            <w:pPr>
              <w:spacing w:after="0"/>
              <w:rPr>
                <w:sz w:val="14"/>
                <w:szCs w:val="14"/>
                <w:color w:val="auto"/>
              </w:rPr>
            </w:pPr>
          </w:p>
        </w:tc>
        <w:tc>
          <w:tcPr>
            <w:tcW w:w="6440" w:type="dxa"/>
            <w:vAlign w:val="bottom"/>
            <w:shd w:val="clear" w:color="auto" w:fill="123054"/>
          </w:tcPr>
          <w:p>
            <w:pPr>
              <w:ind w:left="780"/>
              <w:spacing w:after="0" w:line="148" w:lineRule="exact"/>
              <w:rPr>
                <w:sz w:val="20"/>
                <w:szCs w:val="20"/>
                <w:color w:val="auto"/>
              </w:rPr>
            </w:pPr>
            <w:r>
              <w:rPr>
                <w:rFonts w:ascii="Arial" w:cs="Arial" w:eastAsia="Arial" w:hAnsi="Arial"/>
                <w:sz w:val="16"/>
                <w:szCs w:val="16"/>
                <w:b w:val="1"/>
                <w:bCs w:val="1"/>
                <w:color w:val="FFFFFF"/>
              </w:rPr>
              <w:t>2024 Long-Term Equity Incentive Award</w:t>
            </w:r>
          </w:p>
        </w:tc>
        <w:tc>
          <w:tcPr>
            <w:tcW w:w="0" w:type="dxa"/>
            <w:vAlign w:val="bottom"/>
          </w:tcPr>
          <w:p>
            <w:pPr>
              <w:spacing w:after="0"/>
              <w:rPr>
                <w:sz w:val="1"/>
                <w:szCs w:val="1"/>
                <w:color w:val="auto"/>
              </w:rPr>
            </w:pPr>
          </w:p>
        </w:tc>
      </w:tr>
      <w:tr>
        <w:trPr>
          <w:trHeight w:val="270"/>
        </w:trPr>
        <w:tc>
          <w:tcPr>
            <w:tcW w:w="2320" w:type="dxa"/>
            <w:vAlign w:val="bottom"/>
            <w:shd w:val="clear" w:color="auto" w:fill="DBDBDB"/>
          </w:tcPr>
          <w:p>
            <w:pPr>
              <w:ind w:left="60"/>
              <w:spacing w:after="0"/>
              <w:rPr>
                <w:sz w:val="20"/>
                <w:szCs w:val="20"/>
                <w:color w:val="auto"/>
              </w:rPr>
            </w:pPr>
            <w:r>
              <w:rPr>
                <w:rFonts w:ascii="Arial" w:cs="Arial" w:eastAsia="Arial" w:hAnsi="Arial"/>
                <w:sz w:val="20"/>
                <w:szCs w:val="20"/>
                <w:color w:val="auto"/>
              </w:rPr>
              <w:t>Richard F. Westenberger</w:t>
            </w:r>
          </w:p>
        </w:tc>
        <w:tc>
          <w:tcPr>
            <w:tcW w:w="6440" w:type="dxa"/>
            <w:vAlign w:val="bottom"/>
            <w:shd w:val="clear" w:color="auto" w:fill="DBDBDB"/>
          </w:tcPr>
          <w:p>
            <w:pPr>
              <w:ind w:left="780"/>
              <w:spacing w:after="0"/>
              <w:rPr>
                <w:sz w:val="20"/>
                <w:szCs w:val="20"/>
                <w:color w:val="auto"/>
              </w:rPr>
            </w:pPr>
            <w:r>
              <w:rPr>
                <w:rFonts w:ascii="Arial" w:cs="Arial" w:eastAsia="Arial" w:hAnsi="Arial"/>
                <w:sz w:val="20"/>
                <w:szCs w:val="20"/>
                <w:color w:val="auto"/>
              </w:rPr>
              <w:t>$1,609,960</w:t>
            </w:r>
          </w:p>
        </w:tc>
        <w:tc>
          <w:tcPr>
            <w:tcW w:w="0" w:type="dxa"/>
            <w:vAlign w:val="bottom"/>
          </w:tcPr>
          <w:p>
            <w:pPr>
              <w:spacing w:after="0"/>
              <w:rPr>
                <w:sz w:val="1"/>
                <w:szCs w:val="1"/>
                <w:color w:val="auto"/>
              </w:rPr>
            </w:pPr>
          </w:p>
        </w:tc>
      </w:tr>
      <w:tr>
        <w:trPr>
          <w:trHeight w:val="282"/>
        </w:trPr>
        <w:tc>
          <w:tcPr>
            <w:tcW w:w="2320" w:type="dxa"/>
            <w:vAlign w:val="bottom"/>
          </w:tcPr>
          <w:p>
            <w:pPr>
              <w:ind w:left="60"/>
              <w:spacing w:after="0"/>
              <w:rPr>
                <w:sz w:val="20"/>
                <w:szCs w:val="20"/>
                <w:color w:val="auto"/>
              </w:rPr>
            </w:pPr>
            <w:r>
              <w:rPr>
                <w:rFonts w:ascii="Arial" w:cs="Arial" w:eastAsia="Arial" w:hAnsi="Arial"/>
                <w:sz w:val="20"/>
                <w:szCs w:val="20"/>
                <w:color w:val="auto"/>
              </w:rPr>
              <w:t>Kendra D. Krugman</w:t>
            </w:r>
          </w:p>
        </w:tc>
        <w:tc>
          <w:tcPr>
            <w:tcW w:w="6440" w:type="dxa"/>
            <w:vAlign w:val="bottom"/>
          </w:tcPr>
          <w:p>
            <w:pPr>
              <w:ind w:left="780"/>
              <w:spacing w:after="0"/>
              <w:rPr>
                <w:sz w:val="20"/>
                <w:szCs w:val="20"/>
                <w:color w:val="auto"/>
              </w:rPr>
            </w:pPr>
            <w:r>
              <w:rPr>
                <w:rFonts w:ascii="Arial" w:cs="Arial" w:eastAsia="Arial" w:hAnsi="Arial"/>
                <w:sz w:val="20"/>
                <w:szCs w:val="20"/>
                <w:color w:val="auto"/>
              </w:rPr>
              <w:t>$1,609,960</w:t>
            </w:r>
          </w:p>
        </w:tc>
        <w:tc>
          <w:tcPr>
            <w:tcW w:w="0" w:type="dxa"/>
            <w:vAlign w:val="bottom"/>
          </w:tcPr>
          <w:p>
            <w:pPr>
              <w:spacing w:after="0"/>
              <w:rPr>
                <w:sz w:val="1"/>
                <w:szCs w:val="1"/>
                <w:color w:val="auto"/>
              </w:rPr>
            </w:pPr>
          </w:p>
        </w:tc>
      </w:tr>
      <w:tr>
        <w:trPr>
          <w:trHeight w:val="137"/>
        </w:trPr>
        <w:tc>
          <w:tcPr>
            <w:tcW w:w="2320" w:type="dxa"/>
            <w:vAlign w:val="bottom"/>
            <w:shd w:val="clear" w:color="auto" w:fill="DBDBDB"/>
          </w:tcPr>
          <w:p>
            <w:pPr>
              <w:ind w:left="1620"/>
              <w:spacing w:after="0" w:line="137" w:lineRule="exact"/>
              <w:rPr>
                <w:sz w:val="20"/>
                <w:szCs w:val="20"/>
                <w:color w:val="auto"/>
              </w:rPr>
            </w:pPr>
            <w:r>
              <w:rPr>
                <w:rFonts w:ascii="Arial" w:cs="Arial" w:eastAsia="Arial" w:hAnsi="Arial"/>
                <w:sz w:val="13"/>
                <w:szCs w:val="13"/>
                <w:color w:val="auto"/>
              </w:rPr>
              <w:t>2</w:t>
            </w:r>
          </w:p>
        </w:tc>
        <w:tc>
          <w:tcPr>
            <w:tcW w:w="6440" w:type="dxa"/>
            <w:vAlign w:val="bottom"/>
            <w:vMerge w:val="restart"/>
            <w:shd w:val="clear" w:color="auto" w:fill="DBDBDB"/>
          </w:tcPr>
          <w:p>
            <w:pPr>
              <w:ind w:left="780"/>
              <w:spacing w:after="0"/>
              <w:rPr>
                <w:sz w:val="20"/>
                <w:szCs w:val="20"/>
                <w:color w:val="auto"/>
              </w:rPr>
            </w:pPr>
            <w:r>
              <w:rPr>
                <w:rFonts w:ascii="Arial" w:cs="Arial" w:eastAsia="Arial" w:hAnsi="Arial"/>
                <w:sz w:val="20"/>
                <w:szCs w:val="20"/>
                <w:color w:val="auto"/>
              </w:rPr>
              <w:t>$2,500,190</w:t>
            </w:r>
          </w:p>
        </w:tc>
        <w:tc>
          <w:tcPr>
            <w:tcW w:w="0" w:type="dxa"/>
            <w:vAlign w:val="bottom"/>
          </w:tcPr>
          <w:p>
            <w:pPr>
              <w:spacing w:after="0"/>
              <w:rPr>
                <w:sz w:val="1"/>
                <w:szCs w:val="1"/>
                <w:color w:val="auto"/>
              </w:rPr>
            </w:pPr>
          </w:p>
        </w:tc>
      </w:tr>
      <w:tr>
        <w:trPr>
          <w:trHeight w:val="148"/>
        </w:trPr>
        <w:tc>
          <w:tcPr>
            <w:tcW w:w="2320" w:type="dxa"/>
            <w:vAlign w:val="bottom"/>
            <w:shd w:val="clear" w:color="auto" w:fill="DBDBDB"/>
          </w:tcPr>
          <w:p>
            <w:pPr>
              <w:ind w:left="60"/>
              <w:spacing w:after="0" w:line="148" w:lineRule="exact"/>
              <w:rPr>
                <w:sz w:val="20"/>
                <w:szCs w:val="20"/>
                <w:color w:val="auto"/>
              </w:rPr>
            </w:pPr>
            <w:r>
              <w:rPr>
                <w:rFonts w:ascii="Arial" w:cs="Arial" w:eastAsia="Arial" w:hAnsi="Arial"/>
                <w:sz w:val="16"/>
                <w:szCs w:val="16"/>
                <w:color w:val="auto"/>
              </w:rPr>
              <w:t>Allison M. Peterson</w:t>
            </w:r>
          </w:p>
        </w:tc>
        <w:tc>
          <w:tcPr>
            <w:tcW w:w="64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980"/>
              <w:spacing w:after="0" w:line="135" w:lineRule="exact"/>
              <w:rPr>
                <w:sz w:val="20"/>
                <w:szCs w:val="20"/>
                <w:color w:val="auto"/>
              </w:rPr>
            </w:pPr>
            <w:r>
              <w:rPr>
                <w:rFonts w:ascii="Arial" w:cs="Arial" w:eastAsia="Arial" w:hAnsi="Arial"/>
                <w:sz w:val="13"/>
                <w:szCs w:val="13"/>
                <w:color w:val="auto"/>
              </w:rPr>
              <w:t>3</w:t>
            </w:r>
          </w:p>
        </w:tc>
        <w:tc>
          <w:tcPr>
            <w:tcW w:w="6440" w:type="dxa"/>
            <w:vAlign w:val="bottom"/>
            <w:vMerge w:val="restart"/>
          </w:tcPr>
          <w:p>
            <w:pPr>
              <w:ind w:left="780"/>
              <w:spacing w:after="0"/>
              <w:rPr>
                <w:sz w:val="20"/>
                <w:szCs w:val="20"/>
                <w:color w:val="auto"/>
              </w:rPr>
            </w:pPr>
            <w:r>
              <w:rPr>
                <w:rFonts w:ascii="Arial" w:cs="Arial" w:eastAsia="Arial" w:hAnsi="Arial"/>
                <w:sz w:val="20"/>
                <w:szCs w:val="20"/>
                <w:color w:val="auto"/>
              </w:rPr>
              <w:t>$1,000,120</w:t>
            </w:r>
          </w:p>
        </w:tc>
        <w:tc>
          <w:tcPr>
            <w:tcW w:w="0" w:type="dxa"/>
            <w:vAlign w:val="bottom"/>
          </w:tcPr>
          <w:p>
            <w:pPr>
              <w:spacing w:after="0"/>
              <w:rPr>
                <w:sz w:val="1"/>
                <w:szCs w:val="1"/>
                <w:color w:val="auto"/>
              </w:rPr>
            </w:pPr>
          </w:p>
        </w:tc>
      </w:tr>
      <w:tr>
        <w:trPr>
          <w:trHeight w:val="148"/>
        </w:trPr>
        <w:tc>
          <w:tcPr>
            <w:tcW w:w="2320" w:type="dxa"/>
            <w:vAlign w:val="bottom"/>
          </w:tcPr>
          <w:p>
            <w:pPr>
              <w:ind w:left="60"/>
              <w:spacing w:after="0" w:line="148" w:lineRule="exact"/>
              <w:rPr>
                <w:sz w:val="20"/>
                <w:szCs w:val="20"/>
                <w:color w:val="auto"/>
              </w:rPr>
            </w:pPr>
            <w:r>
              <w:rPr>
                <w:rFonts w:ascii="Arial" w:cs="Arial" w:eastAsia="Arial" w:hAnsi="Arial"/>
                <w:sz w:val="16"/>
                <w:szCs w:val="16"/>
                <w:color w:val="auto"/>
              </w:rPr>
              <w:t>Raghu Sagi</w:t>
            </w:r>
          </w:p>
        </w:tc>
        <w:tc>
          <w:tcPr>
            <w:tcW w:w="6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320" w:type="dxa"/>
            <w:vAlign w:val="bottom"/>
            <w:shd w:val="clear" w:color="auto" w:fill="DBDBDB"/>
          </w:tcPr>
          <w:p>
            <w:pPr>
              <w:ind w:left="60"/>
              <w:spacing w:after="0"/>
              <w:rPr>
                <w:sz w:val="20"/>
                <w:szCs w:val="20"/>
                <w:color w:val="auto"/>
              </w:rPr>
            </w:pPr>
            <w:r>
              <w:rPr>
                <w:rFonts w:ascii="Arial" w:cs="Arial" w:eastAsia="Arial" w:hAnsi="Arial"/>
                <w:sz w:val="20"/>
                <w:szCs w:val="20"/>
                <w:color w:val="auto"/>
              </w:rPr>
              <w:t>Michael D. Casey</w:t>
            </w:r>
          </w:p>
        </w:tc>
        <w:tc>
          <w:tcPr>
            <w:tcW w:w="6440" w:type="dxa"/>
            <w:vAlign w:val="bottom"/>
            <w:shd w:val="clear" w:color="auto" w:fill="DBDBDB"/>
          </w:tcPr>
          <w:p>
            <w:pPr>
              <w:ind w:left="780"/>
              <w:spacing w:after="0"/>
              <w:rPr>
                <w:sz w:val="20"/>
                <w:szCs w:val="20"/>
                <w:color w:val="auto"/>
              </w:rPr>
            </w:pPr>
            <w:r>
              <w:rPr>
                <w:rFonts w:ascii="Arial" w:cs="Arial" w:eastAsia="Arial" w:hAnsi="Arial"/>
                <w:sz w:val="20"/>
                <w:szCs w:val="20"/>
                <w:color w:val="auto"/>
              </w:rPr>
              <w:t>$6,976,664</w:t>
            </w:r>
          </w:p>
        </w:tc>
        <w:tc>
          <w:tcPr>
            <w:tcW w:w="0" w:type="dxa"/>
            <w:vAlign w:val="bottom"/>
          </w:tcPr>
          <w:p>
            <w:pPr>
              <w:spacing w:after="0"/>
              <w:rPr>
                <w:sz w:val="1"/>
                <w:szCs w:val="1"/>
                <w:color w:val="auto"/>
              </w:rPr>
            </w:pPr>
          </w:p>
        </w:tc>
      </w:tr>
      <w:tr>
        <w:trPr>
          <w:trHeight w:val="135"/>
        </w:trPr>
        <w:tc>
          <w:tcPr>
            <w:tcW w:w="2320" w:type="dxa"/>
            <w:vAlign w:val="bottom"/>
          </w:tcPr>
          <w:p>
            <w:pPr>
              <w:ind w:left="1220"/>
              <w:spacing w:after="0" w:line="135" w:lineRule="exact"/>
              <w:rPr>
                <w:sz w:val="20"/>
                <w:szCs w:val="20"/>
                <w:color w:val="auto"/>
              </w:rPr>
            </w:pPr>
            <w:r>
              <w:rPr>
                <w:rFonts w:ascii="Arial" w:cs="Arial" w:eastAsia="Arial" w:hAnsi="Arial"/>
                <w:sz w:val="13"/>
                <w:szCs w:val="13"/>
                <w:color w:val="auto"/>
              </w:rPr>
              <w:t>4</w:t>
            </w:r>
          </w:p>
        </w:tc>
        <w:tc>
          <w:tcPr>
            <w:tcW w:w="644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8"/>
        </w:trPr>
        <w:tc>
          <w:tcPr>
            <w:tcW w:w="2320" w:type="dxa"/>
            <w:vAlign w:val="bottom"/>
          </w:tcPr>
          <w:p>
            <w:pPr>
              <w:ind w:left="60"/>
              <w:spacing w:after="0" w:line="188" w:lineRule="exact"/>
              <w:rPr>
                <w:sz w:val="20"/>
                <w:szCs w:val="20"/>
                <w:color w:val="auto"/>
              </w:rPr>
            </w:pPr>
            <w:r>
              <w:rPr>
                <w:rFonts w:ascii="Arial" w:cs="Arial" w:eastAsia="Arial" w:hAnsi="Arial"/>
                <w:sz w:val="20"/>
                <w:szCs w:val="20"/>
                <w:color w:val="auto"/>
              </w:rPr>
              <w:t>Brian J. Lynch</w:t>
            </w: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220" w:hanging="90"/>
        <w:spacing w:after="0"/>
        <w:tabs>
          <w:tab w:leader="none" w:pos="22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Amounts assume target attainment of metrics under performance-based restricted stock awards.</w:t>
      </w:r>
    </w:p>
    <w:p>
      <w:pPr>
        <w:spacing w:after="0" w:line="15" w:lineRule="exact"/>
        <w:rPr>
          <w:sz w:val="20"/>
          <w:szCs w:val="20"/>
          <w:color w:val="auto"/>
        </w:rPr>
      </w:pPr>
    </w:p>
    <w:p>
      <w:pPr>
        <w:ind w:left="140" w:right="140" w:hanging="10"/>
        <w:spacing w:after="0" w:line="227" w:lineRule="auto"/>
        <w:tabs>
          <w:tab w:leader="none" w:pos="237"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In connection with Ms. Peterson joining Carter's in July 2024, Ms. Peterson received an award of time-based restricted stock that vests over four years in 25% increments on the annual anniversary of the grant date.</w:t>
      </w:r>
    </w:p>
    <w:p>
      <w:pPr>
        <w:spacing w:after="0" w:line="1" w:lineRule="exact"/>
        <w:rPr>
          <w:rFonts w:ascii="Arial" w:cs="Arial" w:eastAsia="Arial" w:hAnsi="Arial"/>
          <w:sz w:val="21"/>
          <w:szCs w:val="21"/>
          <w:color w:val="auto"/>
          <w:vertAlign w:val="superscript"/>
        </w:rPr>
      </w:pPr>
    </w:p>
    <w:p>
      <w:pPr>
        <w:ind w:left="140" w:right="400"/>
        <w:spacing w:after="0" w:line="220"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In connection with Mr. Sagi joining Carter's in April 2024, Mr. Sagi received an award of time-based restricted stock that vests over four years in 25% increments on the annual anniversary of the grant date.</w:t>
      </w:r>
    </w:p>
    <w:p>
      <w:pPr>
        <w:spacing w:after="0" w:line="1" w:lineRule="exact"/>
        <w:rPr>
          <w:rFonts w:ascii="Arial" w:cs="Arial" w:eastAsia="Arial" w:hAnsi="Arial"/>
          <w:sz w:val="21"/>
          <w:szCs w:val="21"/>
          <w:color w:val="auto"/>
          <w:vertAlign w:val="superscript"/>
        </w:rPr>
      </w:pPr>
    </w:p>
    <w:p>
      <w:pPr>
        <w:ind w:left="140"/>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4</w:t>
      </w:r>
      <w:r>
        <w:rPr>
          <w:rFonts w:ascii="Arial" w:cs="Arial" w:eastAsia="Arial" w:hAnsi="Arial"/>
          <w:sz w:val="16"/>
          <w:szCs w:val="16"/>
          <w:color w:val="auto"/>
        </w:rPr>
        <w:t xml:space="preserve"> Mr. Lynch retired from Carter's in February 2024 and did not receive any long-term equity incentive awards in 2024.</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PERFORMANCE-BASED RESTRICTED STOCK AWARD MEASUREMENT</w:t>
      </w:r>
    </w:p>
    <w:p>
      <w:pPr>
        <w:spacing w:after="0" w:line="251" w:lineRule="exact"/>
        <w:rPr>
          <w:sz w:val="20"/>
          <w:szCs w:val="20"/>
          <w:color w:val="auto"/>
        </w:rPr>
      </w:pPr>
    </w:p>
    <w:p>
      <w:pPr>
        <w:ind w:left="140"/>
        <w:spacing w:after="0" w:line="258" w:lineRule="auto"/>
        <w:rPr>
          <w:sz w:val="20"/>
          <w:szCs w:val="20"/>
          <w:color w:val="auto"/>
        </w:rPr>
      </w:pPr>
      <w:r>
        <w:rPr>
          <w:rFonts w:ascii="Arial" w:cs="Arial" w:eastAsia="Arial" w:hAnsi="Arial"/>
          <w:sz w:val="20"/>
          <w:szCs w:val="20"/>
          <w:color w:val="auto"/>
        </w:rPr>
        <w:t>The combined Company PSAs and relative total shareholder return (“relative TSR”) PSAs granted by the Committee in fiscal 2024 measure a mix of net sales growth, adjusted earnings per share (adjusted EPS) as reported to shareholders, and relative TSR over a three-year period from fiscal 2024 to fiscal 2026, as shown below. The Committee selected these metrics as they represent key areas of focus for Carter’s and align compensation with long-term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4173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417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2660" w:type="dxa"/>
            <w:vAlign w:val="bottom"/>
            <w:shd w:val="clear" w:color="auto" w:fill="123054"/>
          </w:tcPr>
          <w:p>
            <w:pPr>
              <w:ind w:left="60"/>
              <w:spacing w:after="0"/>
              <w:rPr>
                <w:sz w:val="20"/>
                <w:szCs w:val="20"/>
                <w:color w:val="auto"/>
              </w:rPr>
            </w:pPr>
            <w:r>
              <w:rPr>
                <w:rFonts w:ascii="Arial" w:cs="Arial" w:eastAsia="Arial" w:hAnsi="Arial"/>
                <w:sz w:val="20"/>
                <w:szCs w:val="20"/>
                <w:b w:val="1"/>
                <w:bCs w:val="1"/>
                <w:color w:val="FFFFFF"/>
              </w:rPr>
              <w:t>Fiscal 2024 to 2026 PSA</w:t>
            </w:r>
          </w:p>
        </w:tc>
        <w:tc>
          <w:tcPr>
            <w:tcW w:w="6100" w:type="dxa"/>
            <w:vAlign w:val="bottom"/>
            <w:shd w:val="clear" w:color="auto" w:fill="123054"/>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660" w:type="dxa"/>
            <w:vAlign w:val="bottom"/>
            <w:shd w:val="clear" w:color="auto" w:fill="123054"/>
          </w:tcPr>
          <w:p>
            <w:pPr>
              <w:ind w:left="60"/>
              <w:spacing w:after="0"/>
              <w:rPr>
                <w:sz w:val="20"/>
                <w:szCs w:val="20"/>
                <w:color w:val="auto"/>
              </w:rPr>
            </w:pPr>
            <w:r>
              <w:rPr>
                <w:rFonts w:ascii="Arial" w:cs="Arial" w:eastAsia="Arial" w:hAnsi="Arial"/>
                <w:sz w:val="20"/>
                <w:szCs w:val="20"/>
                <w:b w:val="1"/>
                <w:bCs w:val="1"/>
                <w:color w:val="FFFFFF"/>
              </w:rPr>
              <w:t>Metrics</w:t>
            </w:r>
          </w:p>
        </w:tc>
        <w:tc>
          <w:tcPr>
            <w:tcW w:w="6100" w:type="dxa"/>
            <w:vAlign w:val="bottom"/>
            <w:shd w:val="clear" w:color="auto" w:fill="123054"/>
          </w:tcPr>
          <w:p>
            <w:pPr>
              <w:ind w:left="1020"/>
              <w:spacing w:after="0"/>
              <w:rPr>
                <w:sz w:val="20"/>
                <w:szCs w:val="20"/>
                <w:color w:val="auto"/>
              </w:rPr>
            </w:pPr>
            <w:r>
              <w:rPr>
                <w:rFonts w:ascii="Arial" w:cs="Arial" w:eastAsia="Arial" w:hAnsi="Arial"/>
                <w:sz w:val="20"/>
                <w:szCs w:val="20"/>
                <w:b w:val="1"/>
                <w:bCs w:val="1"/>
                <w:color w:val="FFFFFF"/>
              </w:rPr>
              <w:t>Weighting</w:t>
            </w:r>
          </w:p>
        </w:tc>
        <w:tc>
          <w:tcPr>
            <w:tcW w:w="0" w:type="dxa"/>
            <w:vAlign w:val="bottom"/>
          </w:tcPr>
          <w:p>
            <w:pPr>
              <w:spacing w:after="0"/>
              <w:rPr>
                <w:sz w:val="1"/>
                <w:szCs w:val="1"/>
                <w:color w:val="auto"/>
              </w:rPr>
            </w:pPr>
          </w:p>
        </w:tc>
      </w:tr>
      <w:tr>
        <w:trPr>
          <w:trHeight w:val="122"/>
        </w:trPr>
        <w:tc>
          <w:tcPr>
            <w:tcW w:w="2660" w:type="dxa"/>
            <w:vAlign w:val="bottom"/>
            <w:shd w:val="clear" w:color="auto" w:fill="DBDBDB"/>
          </w:tcPr>
          <w:p>
            <w:pPr>
              <w:ind w:left="820"/>
              <w:spacing w:after="0" w:line="122" w:lineRule="exact"/>
              <w:rPr>
                <w:sz w:val="20"/>
                <w:szCs w:val="20"/>
                <w:color w:val="auto"/>
              </w:rPr>
            </w:pPr>
            <w:r>
              <w:rPr>
                <w:rFonts w:ascii="Arial" w:cs="Arial" w:eastAsia="Arial" w:hAnsi="Arial"/>
                <w:sz w:val="13"/>
                <w:szCs w:val="13"/>
                <w:color w:val="auto"/>
              </w:rPr>
              <w:t>1</w:t>
            </w:r>
          </w:p>
        </w:tc>
        <w:tc>
          <w:tcPr>
            <w:tcW w:w="6100" w:type="dxa"/>
            <w:vAlign w:val="bottom"/>
            <w:vMerge w:val="restart"/>
            <w:shd w:val="clear" w:color="auto" w:fill="DBDBDB"/>
          </w:tcPr>
          <w:p>
            <w:pPr>
              <w:ind w:left="1020"/>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149"/>
        </w:trPr>
        <w:tc>
          <w:tcPr>
            <w:tcW w:w="2660" w:type="dxa"/>
            <w:vAlign w:val="bottom"/>
            <w:shd w:val="clear" w:color="auto" w:fill="DBDBDB"/>
          </w:tcPr>
          <w:p>
            <w:pPr>
              <w:ind w:left="60"/>
              <w:spacing w:after="0" w:line="148" w:lineRule="exact"/>
              <w:rPr>
                <w:sz w:val="20"/>
                <w:szCs w:val="20"/>
                <w:color w:val="auto"/>
              </w:rPr>
            </w:pPr>
            <w:r>
              <w:rPr>
                <w:rFonts w:ascii="Arial" w:cs="Arial" w:eastAsia="Arial" w:hAnsi="Arial"/>
                <w:sz w:val="16"/>
                <w:szCs w:val="16"/>
                <w:color w:val="auto"/>
              </w:rPr>
              <w:t>Net Sales</w:t>
            </w:r>
          </w:p>
        </w:tc>
        <w:tc>
          <w:tcPr>
            <w:tcW w:w="61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160"/>
              <w:spacing w:after="0" w:line="135" w:lineRule="exact"/>
              <w:rPr>
                <w:sz w:val="20"/>
                <w:szCs w:val="20"/>
                <w:color w:val="auto"/>
              </w:rPr>
            </w:pPr>
            <w:r>
              <w:rPr>
                <w:rFonts w:ascii="Arial" w:cs="Arial" w:eastAsia="Arial" w:hAnsi="Arial"/>
                <w:sz w:val="13"/>
                <w:szCs w:val="13"/>
                <w:color w:val="auto"/>
              </w:rPr>
              <w:t>1</w:t>
            </w:r>
          </w:p>
        </w:tc>
        <w:tc>
          <w:tcPr>
            <w:tcW w:w="6100" w:type="dxa"/>
            <w:vAlign w:val="bottom"/>
            <w:vMerge w:val="restart"/>
          </w:tcPr>
          <w:p>
            <w:pPr>
              <w:ind w:left="1020"/>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8" w:lineRule="exact"/>
              <w:rPr>
                <w:sz w:val="20"/>
                <w:szCs w:val="20"/>
                <w:color w:val="auto"/>
              </w:rPr>
            </w:pPr>
            <w:r>
              <w:rPr>
                <w:rFonts w:ascii="Arial" w:cs="Arial" w:eastAsia="Arial" w:hAnsi="Arial"/>
                <w:sz w:val="16"/>
                <w:szCs w:val="16"/>
                <w:color w:val="auto"/>
              </w:rPr>
              <w:t>Adjusted EPS</w:t>
            </w:r>
          </w:p>
        </w:tc>
        <w:tc>
          <w:tcPr>
            <w:tcW w:w="6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DBDBDB"/>
          </w:tcPr>
          <w:p>
            <w:pPr>
              <w:ind w:left="1100"/>
              <w:spacing w:after="0" w:line="135" w:lineRule="exact"/>
              <w:rPr>
                <w:sz w:val="20"/>
                <w:szCs w:val="20"/>
                <w:color w:val="auto"/>
              </w:rPr>
            </w:pPr>
            <w:r>
              <w:rPr>
                <w:rFonts w:ascii="Arial" w:cs="Arial" w:eastAsia="Arial" w:hAnsi="Arial"/>
                <w:sz w:val="13"/>
                <w:szCs w:val="13"/>
                <w:color w:val="auto"/>
              </w:rPr>
              <w:t>2</w:t>
            </w:r>
          </w:p>
        </w:tc>
        <w:tc>
          <w:tcPr>
            <w:tcW w:w="6100" w:type="dxa"/>
            <w:vAlign w:val="bottom"/>
            <w:vMerge w:val="restart"/>
            <w:shd w:val="clear" w:color="auto" w:fill="DBDBDB"/>
          </w:tcPr>
          <w:p>
            <w:pPr>
              <w:ind w:left="1020"/>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123054"/>
            </w:tcBorders>
            <w:shd w:val="clear" w:color="auto" w:fill="DBDBDB"/>
          </w:tcPr>
          <w:p>
            <w:pPr>
              <w:ind w:left="60"/>
              <w:spacing w:after="0" w:line="148" w:lineRule="exact"/>
              <w:rPr>
                <w:sz w:val="20"/>
                <w:szCs w:val="20"/>
                <w:color w:val="auto"/>
              </w:rPr>
            </w:pPr>
            <w:r>
              <w:rPr>
                <w:rFonts w:ascii="Arial" w:cs="Arial" w:eastAsia="Arial" w:hAnsi="Arial"/>
                <w:sz w:val="16"/>
                <w:szCs w:val="16"/>
                <w:color w:val="auto"/>
              </w:rPr>
              <w:t>Relative TSR</w:t>
            </w:r>
          </w:p>
        </w:tc>
        <w:tc>
          <w:tcPr>
            <w:tcW w:w="6100" w:type="dxa"/>
            <w:vAlign w:val="bottom"/>
            <w:tcBorders>
              <w:bottom w:val="single" w:sz="8" w:color="123054"/>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80" w:right="220" w:hanging="3"/>
        <w:spacing w:after="0" w:line="242" w:lineRule="auto"/>
        <w:tabs>
          <w:tab w:leader="none" w:pos="277"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Target performance for these metrics was set, at the time of grant, for the first year of the performance period, and the target performance for each of the following years (2025 and 2026) is based on a set rate of growth (included in the award agreement) in the actual performance for the prior year. For example, if the net sales target for 2024 was set at $2.8 billion, but actual performance for 2024 was $2.7 billion, the target net sales for 2025 would be based on a growth rate related to $2.7 billion in net sales. The Committee sought to set challenging goals for the fiscal 2024 net sales and adjusted EPS metrics.</w:t>
      </w:r>
    </w:p>
    <w:p>
      <w:pPr>
        <w:spacing w:after="0" w:line="2" w:lineRule="exact"/>
        <w:rPr>
          <w:rFonts w:ascii="Arial" w:cs="Arial" w:eastAsia="Arial" w:hAnsi="Arial"/>
          <w:sz w:val="21"/>
          <w:szCs w:val="21"/>
          <w:color w:val="auto"/>
          <w:vertAlign w:val="superscript"/>
        </w:rPr>
      </w:pPr>
    </w:p>
    <w:p>
      <w:pPr>
        <w:ind w:left="180" w:right="280"/>
        <w:spacing w:after="0" w:line="23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Target performance was set at a three-year relative TSR that equals or exceeds the 50th percentile of a comparator group consisting of a selection of companies in the S&amp;P 1500 Apparel, Accessories &amp; Luxury Goods Index and the S&amp;P 1500 Apparel Retail Index.</w:t>
      </w:r>
    </w:p>
    <w:p>
      <w:pPr>
        <w:spacing w:after="0" w:line="292" w:lineRule="exact"/>
        <w:rPr>
          <w:sz w:val="20"/>
          <w:szCs w:val="20"/>
          <w:color w:val="auto"/>
        </w:rPr>
      </w:pPr>
    </w:p>
    <w:p>
      <w:pPr>
        <w:ind w:left="140" w:right="240"/>
        <w:spacing w:after="0" w:line="258" w:lineRule="auto"/>
        <w:rPr>
          <w:sz w:val="20"/>
          <w:szCs w:val="20"/>
          <w:color w:val="auto"/>
        </w:rPr>
      </w:pPr>
      <w:r>
        <w:rPr>
          <w:rFonts w:ascii="Arial" w:cs="Arial" w:eastAsia="Arial" w:hAnsi="Arial"/>
          <w:sz w:val="20"/>
          <w:szCs w:val="20"/>
          <w:color w:val="auto"/>
        </w:rPr>
        <w:t>The number of PSAs earned will depend on Carter’s level of achievement with respect to each metric, ranging from 25% of target for performance at threshold to 200% of target for performance at maximum. No PSAs will be earned if performance falls below the threshold level of performance for all three metrics. If the performance level falls between threshold and target or between target and maximum, the level of payout is determined through linear interpolation.</w:t>
      </w:r>
    </w:p>
    <w:p>
      <w:pPr>
        <w:sectPr>
          <w:pgSz w:w="11900" w:h="16838" w:orient="portrait"/>
          <w:cols w:equalWidth="0" w:num="1">
            <w:col w:w="9580"/>
          </w:cols>
          <w:pgMar w:left="1440" w:top="104" w:right="879" w:bottom="65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824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751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5751195"/>
                    </a:xfrm>
                    <a:prstGeom prst="rect">
                      <a:avLst/>
                    </a:prstGeom>
                    <a:noFill/>
                  </pic:spPr>
                </pic:pic>
              </a:graphicData>
            </a:graphic>
          </wp:anchor>
        </w:drawing>
      </w:r>
    </w:p>
    <w:p>
      <w:pPr>
        <w:sectPr>
          <w:pgSz w:w="11900" w:h="16838" w:orient="portrait"/>
          <w:cols w:equalWidth="0" w:num="1">
            <w:col w:w="9440"/>
          </w:cols>
          <w:pgMar w:left="1440" w:top="1440" w:right="10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123054"/>
        </w:rPr>
        <w:t>COMPLETED AND OUTSTANDING PERFORMANCE SHARE AWARD CYCLES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final measurement period for the fiscal 2022 to fiscal 2024 PSA cycle was completed as of the end of</w:t>
      </w:r>
    </w:p>
    <w:p>
      <w:pPr>
        <w:spacing w:after="0" w:line="2" w:lineRule="exact"/>
        <w:rPr>
          <w:sz w:val="20"/>
          <w:szCs w:val="20"/>
          <w:color w:val="auto"/>
        </w:rPr>
      </w:pPr>
    </w:p>
    <w:p>
      <w:pPr>
        <w:ind w:left="140"/>
        <w:spacing w:after="0" w:line="225" w:lineRule="auto"/>
        <w:rPr>
          <w:sz w:val="20"/>
          <w:szCs w:val="20"/>
          <w:color w:val="auto"/>
        </w:rPr>
      </w:pPr>
      <w:r>
        <w:rPr>
          <w:rFonts w:ascii="Arial" w:cs="Arial" w:eastAsia="Arial" w:hAnsi="Arial"/>
          <w:sz w:val="20"/>
          <w:szCs w:val="20"/>
          <w:color w:val="auto"/>
        </w:rPr>
        <w:t>fiscal 2024. A summary of the net sales and adjusted EPS metrics are below, and as indicated in the table, no payouts were attained for these PSAs.</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Fiscal 2022 to Fiscal 2024</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756"/>
        </w:trPr>
        <w:tc>
          <w:tcPr>
            <w:tcW w:w="1240" w:type="dxa"/>
            <w:vAlign w:val="bottom"/>
            <w:tcBorders>
              <w:bottom w:val="single" w:sz="8" w:color="123054"/>
              <w:right w:val="single" w:sz="8" w:color="123054"/>
            </w:tcBorders>
          </w:tcPr>
          <w:p>
            <w:pPr>
              <w:ind w:left="140"/>
              <w:spacing w:after="0"/>
              <w:rPr>
                <w:sz w:val="20"/>
                <w:szCs w:val="20"/>
                <w:color w:val="auto"/>
              </w:rPr>
            </w:pPr>
            <w:r>
              <w:rPr>
                <w:rFonts w:ascii="Arial" w:cs="Arial" w:eastAsia="Arial" w:hAnsi="Arial"/>
                <w:sz w:val="20"/>
                <w:szCs w:val="20"/>
                <w:b w:val="1"/>
                <w:bCs w:val="1"/>
                <w:color w:val="auto"/>
              </w:rPr>
              <w:t>PSA Metric</w:t>
            </w:r>
          </w:p>
        </w:tc>
        <w:tc>
          <w:tcPr>
            <w:tcW w:w="280" w:type="dxa"/>
            <w:vAlign w:val="bottom"/>
            <w:tcBorders>
              <w:bottom w:val="single" w:sz="8" w:color="123054"/>
            </w:tcBorders>
            <w:shd w:val="clear" w:color="auto" w:fill="123054"/>
          </w:tcPr>
          <w:p>
            <w:pPr>
              <w:spacing w:after="0"/>
              <w:rPr>
                <w:sz w:val="24"/>
                <w:szCs w:val="24"/>
                <w:color w:val="auto"/>
              </w:rPr>
            </w:pPr>
          </w:p>
        </w:tc>
        <w:tc>
          <w:tcPr>
            <w:tcW w:w="1420" w:type="dxa"/>
            <w:vAlign w:val="bottom"/>
            <w:tcBorders>
              <w:bottom w:val="single" w:sz="8" w:color="123054"/>
              <w:right w:val="single" w:sz="8" w:color="123054"/>
            </w:tcBorders>
            <w:gridSpan w:val="2"/>
            <w:shd w:val="clear" w:color="auto" w:fill="123054"/>
          </w:tcPr>
          <w:p>
            <w:pPr>
              <w:ind w:left="100"/>
              <w:spacing w:after="0"/>
              <w:rPr>
                <w:sz w:val="20"/>
                <w:szCs w:val="20"/>
                <w:color w:val="auto"/>
              </w:rPr>
            </w:pPr>
            <w:r>
              <w:rPr>
                <w:rFonts w:ascii="Arial" w:cs="Arial" w:eastAsia="Arial" w:hAnsi="Arial"/>
                <w:sz w:val="20"/>
                <w:szCs w:val="20"/>
                <w:b w:val="1"/>
                <w:bCs w:val="1"/>
                <w:color w:val="FBFBFB"/>
              </w:rPr>
              <w:t>Threshold</w:t>
            </w:r>
          </w:p>
        </w:tc>
        <w:tc>
          <w:tcPr>
            <w:tcW w:w="260" w:type="dxa"/>
            <w:vAlign w:val="bottom"/>
            <w:tcBorders>
              <w:bottom w:val="single" w:sz="8" w:color="123054"/>
            </w:tcBorders>
            <w:shd w:val="clear" w:color="auto" w:fill="123054"/>
          </w:tcPr>
          <w:p>
            <w:pPr>
              <w:spacing w:after="0"/>
              <w:rPr>
                <w:sz w:val="24"/>
                <w:szCs w:val="24"/>
                <w:color w:val="auto"/>
              </w:rPr>
            </w:pPr>
          </w:p>
        </w:tc>
        <w:tc>
          <w:tcPr>
            <w:tcW w:w="1580" w:type="dxa"/>
            <w:vAlign w:val="bottom"/>
            <w:tcBorders>
              <w:bottom w:val="single" w:sz="8" w:color="123054"/>
            </w:tcBorders>
            <w:gridSpan w:val="3"/>
            <w:shd w:val="clear" w:color="auto" w:fill="123054"/>
          </w:tcPr>
          <w:p>
            <w:pPr>
              <w:ind w:left="340"/>
              <w:spacing w:after="0"/>
              <w:rPr>
                <w:sz w:val="20"/>
                <w:szCs w:val="20"/>
                <w:color w:val="auto"/>
              </w:rPr>
            </w:pPr>
            <w:r>
              <w:rPr>
                <w:rFonts w:ascii="Arial" w:cs="Arial" w:eastAsia="Arial" w:hAnsi="Arial"/>
                <w:sz w:val="20"/>
                <w:szCs w:val="20"/>
                <w:b w:val="1"/>
                <w:bCs w:val="1"/>
                <w:color w:val="FBFBFB"/>
              </w:rPr>
              <w:t>Target</w:t>
            </w:r>
          </w:p>
        </w:tc>
        <w:tc>
          <w:tcPr>
            <w:tcW w:w="160" w:type="dxa"/>
            <w:vAlign w:val="bottom"/>
            <w:tcBorders>
              <w:bottom w:val="single" w:sz="8" w:color="123054"/>
            </w:tcBorders>
            <w:shd w:val="clear" w:color="auto" w:fill="123054"/>
          </w:tcPr>
          <w:p>
            <w:pPr>
              <w:spacing w:after="0"/>
              <w:rPr>
                <w:sz w:val="24"/>
                <w:szCs w:val="24"/>
                <w:color w:val="auto"/>
              </w:rPr>
            </w:pPr>
          </w:p>
        </w:tc>
        <w:tc>
          <w:tcPr>
            <w:tcW w:w="80" w:type="dxa"/>
            <w:vAlign w:val="bottom"/>
            <w:tcBorders>
              <w:bottom w:val="single" w:sz="8" w:color="123054"/>
            </w:tcBorders>
            <w:shd w:val="clear" w:color="auto" w:fill="123054"/>
          </w:tcPr>
          <w:p>
            <w:pPr>
              <w:spacing w:after="0"/>
              <w:rPr>
                <w:sz w:val="24"/>
                <w:szCs w:val="24"/>
                <w:color w:val="auto"/>
              </w:rPr>
            </w:pPr>
          </w:p>
        </w:tc>
        <w:tc>
          <w:tcPr>
            <w:tcW w:w="1580" w:type="dxa"/>
            <w:vAlign w:val="bottom"/>
            <w:tcBorders>
              <w:bottom w:val="single" w:sz="8" w:color="123054"/>
            </w:tcBorders>
            <w:gridSpan w:val="3"/>
            <w:shd w:val="clear" w:color="auto" w:fill="123054"/>
          </w:tcPr>
          <w:p>
            <w:pPr>
              <w:ind w:left="200"/>
              <w:spacing w:after="0"/>
              <w:rPr>
                <w:sz w:val="20"/>
                <w:szCs w:val="20"/>
                <w:color w:val="auto"/>
              </w:rPr>
            </w:pPr>
            <w:r>
              <w:rPr>
                <w:rFonts w:ascii="Arial" w:cs="Arial" w:eastAsia="Arial" w:hAnsi="Arial"/>
                <w:sz w:val="20"/>
                <w:szCs w:val="20"/>
                <w:b w:val="1"/>
                <w:bCs w:val="1"/>
                <w:color w:val="FBFBFB"/>
              </w:rPr>
              <w:t>Maximum</w:t>
            </w:r>
          </w:p>
        </w:tc>
        <w:tc>
          <w:tcPr>
            <w:tcW w:w="240" w:type="dxa"/>
            <w:vAlign w:val="bottom"/>
            <w:tcBorders>
              <w:bottom w:val="single" w:sz="8" w:color="123054"/>
            </w:tcBorders>
            <w:shd w:val="clear" w:color="auto" w:fill="123054"/>
          </w:tcPr>
          <w:p>
            <w:pPr>
              <w:spacing w:after="0"/>
              <w:rPr>
                <w:sz w:val="24"/>
                <w:szCs w:val="24"/>
                <w:color w:val="auto"/>
              </w:rPr>
            </w:pPr>
          </w:p>
        </w:tc>
        <w:tc>
          <w:tcPr>
            <w:tcW w:w="980" w:type="dxa"/>
            <w:vAlign w:val="bottom"/>
            <w:tcBorders>
              <w:bottom w:val="single" w:sz="8" w:color="123054"/>
              <w:right w:val="single" w:sz="8" w:color="123054"/>
            </w:tcBorders>
            <w:gridSpan w:val="2"/>
            <w:shd w:val="clear" w:color="auto" w:fill="123054"/>
          </w:tcPr>
          <w:p>
            <w:pPr>
              <w:ind w:left="60"/>
              <w:spacing w:after="0"/>
              <w:rPr>
                <w:sz w:val="20"/>
                <w:szCs w:val="20"/>
                <w:color w:val="auto"/>
              </w:rPr>
            </w:pPr>
            <w:r>
              <w:rPr>
                <w:rFonts w:ascii="Arial" w:cs="Arial" w:eastAsia="Arial" w:hAnsi="Arial"/>
                <w:sz w:val="20"/>
                <w:szCs w:val="20"/>
                <w:b w:val="1"/>
                <w:bCs w:val="1"/>
                <w:color w:val="FBFBFB"/>
              </w:rPr>
              <w:t>Actual</w:t>
            </w:r>
          </w:p>
        </w:tc>
        <w:tc>
          <w:tcPr>
            <w:tcW w:w="940" w:type="dxa"/>
            <w:vAlign w:val="bottom"/>
            <w:tcBorders>
              <w:bottom w:val="single" w:sz="8" w:color="123054"/>
            </w:tcBorders>
            <w:shd w:val="clear" w:color="auto" w:fill="123054"/>
          </w:tcPr>
          <w:p>
            <w:pPr>
              <w:jc w:val="right"/>
              <w:spacing w:after="0"/>
              <w:rPr>
                <w:sz w:val="20"/>
                <w:szCs w:val="20"/>
                <w:color w:val="auto"/>
              </w:rPr>
            </w:pPr>
            <w:r>
              <w:rPr>
                <w:rFonts w:ascii="Arial" w:cs="Arial" w:eastAsia="Arial" w:hAnsi="Arial"/>
                <w:sz w:val="20"/>
                <w:szCs w:val="20"/>
                <w:b w:val="1"/>
                <w:bCs w:val="1"/>
                <w:color w:val="FBFBFB"/>
              </w:rPr>
              <w:t>Payout %</w:t>
            </w:r>
          </w:p>
        </w:tc>
        <w:tc>
          <w:tcPr>
            <w:tcW w:w="0" w:type="dxa"/>
            <w:vAlign w:val="bottom"/>
          </w:tcPr>
          <w:p>
            <w:pPr>
              <w:spacing w:after="0"/>
              <w:rPr>
                <w:sz w:val="1"/>
                <w:szCs w:val="1"/>
                <w:color w:val="auto"/>
              </w:rPr>
            </w:pPr>
          </w:p>
        </w:tc>
      </w:tr>
      <w:tr>
        <w:trPr>
          <w:trHeight w:val="210"/>
        </w:trPr>
        <w:tc>
          <w:tcPr>
            <w:tcW w:w="1240" w:type="dxa"/>
            <w:vAlign w:val="bottom"/>
            <w:tcBorders>
              <w:right w:val="single" w:sz="8" w:color="123054"/>
            </w:tcBorders>
            <w:shd w:val="clear" w:color="auto" w:fill="DBDBDB"/>
          </w:tcPr>
          <w:p>
            <w:pPr>
              <w:ind w:left="140"/>
              <w:spacing w:after="0" w:line="209" w:lineRule="exact"/>
              <w:rPr>
                <w:sz w:val="20"/>
                <w:szCs w:val="20"/>
                <w:color w:val="auto"/>
              </w:rPr>
            </w:pPr>
            <w:r>
              <w:rPr>
                <w:rFonts w:ascii="Arial" w:cs="Arial" w:eastAsia="Arial" w:hAnsi="Arial"/>
                <w:sz w:val="20"/>
                <w:szCs w:val="20"/>
                <w:color w:val="auto"/>
              </w:rPr>
              <w:t>Net Sales</w:t>
            </w:r>
          </w:p>
        </w:tc>
        <w:tc>
          <w:tcPr>
            <w:tcW w:w="280" w:type="dxa"/>
            <w:vAlign w:val="bottom"/>
            <w:shd w:val="clear" w:color="auto" w:fill="DBDBDB"/>
          </w:tcPr>
          <w:p>
            <w:pPr>
              <w:ind w:left="40"/>
              <w:spacing w:after="0" w:line="209" w:lineRule="exact"/>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shd w:val="clear" w:color="auto" w:fill="DBDBDB"/>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$3,295</w:t>
            </w:r>
          </w:p>
        </w:tc>
        <w:tc>
          <w:tcPr>
            <w:tcW w:w="260" w:type="dxa"/>
            <w:vAlign w:val="bottom"/>
            <w:shd w:val="clear" w:color="auto" w:fill="DBDBDB"/>
          </w:tcPr>
          <w:p>
            <w:pPr>
              <w:ind w:left="20"/>
              <w:spacing w:after="0" w:line="209" w:lineRule="exact"/>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shd w:val="clear" w:color="auto" w:fill="DBDBDB"/>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$3,595</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line="209"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123054"/>
            </w:tcBorders>
            <w:gridSpan w:val="3"/>
            <w:shd w:val="clear" w:color="auto" w:fill="DBDBDB"/>
          </w:tcPr>
          <w:p>
            <w:pPr>
              <w:ind w:left="80"/>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$3,670</w:t>
            </w: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line="209" w:lineRule="exact"/>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shd w:val="clear" w:color="auto" w:fill="DBDBDB"/>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w:t>
            </w:r>
          </w:p>
        </w:tc>
        <w:tc>
          <w:tcPr>
            <w:tcW w:w="940" w:type="dxa"/>
            <w:vAlign w:val="bottom"/>
            <w:shd w:val="clear" w:color="auto" w:fill="DBDBDB"/>
          </w:tcPr>
          <w:p>
            <w:pPr>
              <w:jc w:val="right"/>
              <w:ind w:right="301"/>
              <w:spacing w:after="0" w:line="209"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vMerge w:val="restart"/>
            <w:shd w:val="clear" w:color="auto" w:fill="DBDBDB"/>
          </w:tcPr>
          <w:p>
            <w:pPr>
              <w:ind w:left="140"/>
              <w:spacing w:after="0" w:line="216" w:lineRule="exact"/>
              <w:rPr>
                <w:sz w:val="20"/>
                <w:szCs w:val="20"/>
                <w:color w:val="auto"/>
              </w:rPr>
            </w:pPr>
            <w:r>
              <w:rPr>
                <w:rFonts w:ascii="Arial" w:cs="Arial" w:eastAsia="Arial" w:hAnsi="Arial"/>
                <w:sz w:val="20"/>
                <w:szCs w:val="20"/>
                <w:color w:val="auto"/>
              </w:rPr>
              <w:t>(50%</w:t>
            </w:r>
          </w:p>
        </w:tc>
        <w:tc>
          <w:tcPr>
            <w:tcW w:w="28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left w:val="single" w:sz="8" w:color="DBDBDB"/>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left w:val="single" w:sz="8" w:color="DBDBDB"/>
              <w:right w:val="single" w:sz="8" w:color="123054"/>
            </w:tcBorders>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right w:val="single" w:sz="8" w:color="123054"/>
            </w:tcBorders>
            <w:vMerge w:val="continue"/>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980" w:type="dxa"/>
            <w:vAlign w:val="bottom"/>
            <w:tcBorders>
              <w:right w:val="single" w:sz="8" w:color="123054"/>
            </w:tcBorders>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20" w:type="dxa"/>
            <w:vAlign w:val="bottom"/>
            <w:tcBorders>
              <w:left w:val="single" w:sz="8" w:color="DBDBDB"/>
              <w:right w:val="single" w:sz="8" w:color="123054"/>
            </w:tcBorders>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20" w:type="dxa"/>
            <w:vAlign w:val="bottom"/>
            <w:tcBorders>
              <w:right w:val="single" w:sz="8" w:color="123054"/>
            </w:tcBorders>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80" w:type="dxa"/>
            <w:vAlign w:val="bottom"/>
            <w:tcBorders>
              <w:right w:val="single" w:sz="8" w:color="123054"/>
            </w:tcBorders>
            <w:gridSpan w:val="2"/>
            <w:shd w:val="clear" w:color="auto" w:fill="DBDBDB"/>
          </w:tcPr>
          <w:p>
            <w:pPr>
              <w:spacing w:after="0" w:line="196" w:lineRule="exact"/>
              <w:rPr>
                <w:sz w:val="20"/>
                <w:szCs w:val="20"/>
                <w:color w:val="auto"/>
              </w:rPr>
            </w:pPr>
            <w:r>
              <w:rPr>
                <w:rFonts w:ascii="Arial" w:cs="Arial" w:eastAsia="Arial" w:hAnsi="Arial"/>
                <w:sz w:val="20"/>
                <w:szCs w:val="20"/>
                <w:color w:val="auto"/>
              </w:rPr>
              <w:t>$3,212</w:t>
            </w:r>
          </w:p>
        </w:tc>
        <w:tc>
          <w:tcPr>
            <w:tcW w:w="9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40" w:type="dxa"/>
            <w:vAlign w:val="bottom"/>
            <w:tcBorders>
              <w:right w:val="single" w:sz="8" w:color="123054"/>
            </w:tcBorders>
            <w:shd w:val="clear" w:color="auto" w:fill="DBDBDB"/>
          </w:tcPr>
          <w:p>
            <w:pPr>
              <w:ind w:left="140"/>
              <w:spacing w:after="0" w:line="167" w:lineRule="exact"/>
              <w:rPr>
                <w:sz w:val="20"/>
                <w:szCs w:val="20"/>
                <w:color w:val="auto"/>
              </w:rPr>
            </w:pPr>
            <w:r>
              <w:rPr>
                <w:rFonts w:ascii="Arial" w:cs="Arial" w:eastAsia="Arial" w:hAnsi="Arial"/>
                <w:sz w:val="19"/>
                <w:szCs w:val="19"/>
                <w:color w:val="auto"/>
              </w:rPr>
              <w:t>weighting)</w:t>
            </w:r>
          </w:p>
        </w:tc>
        <w:tc>
          <w:tcPr>
            <w:tcW w:w="280" w:type="dxa"/>
            <w:vAlign w:val="bottom"/>
            <w:vMerge w:val="restart"/>
            <w:shd w:val="clear" w:color="auto" w:fill="DBDBDB"/>
          </w:tcPr>
          <w:p>
            <w:pPr>
              <w:ind w:left="4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1%</w:t>
            </w:r>
          </w:p>
        </w:tc>
        <w:tc>
          <w:tcPr>
            <w:tcW w:w="260" w:type="dxa"/>
            <w:vAlign w:val="bottom"/>
            <w:vMerge w:val="restart"/>
            <w:shd w:val="clear" w:color="auto" w:fill="DBDBDB"/>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3% growth</w:t>
            </w:r>
          </w:p>
        </w:tc>
        <w:tc>
          <w:tcPr>
            <w:tcW w:w="20" w:type="dxa"/>
            <w:vAlign w:val="bottom"/>
            <w:shd w:val="clear" w:color="auto" w:fill="DBDBDB"/>
          </w:tcPr>
          <w:p>
            <w:pPr>
              <w:spacing w:after="0"/>
              <w:rPr>
                <w:sz w:val="14"/>
                <w:szCs w:val="14"/>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20"/>
                <w:szCs w:val="20"/>
                <w:color w:val="auto"/>
              </w:rPr>
              <w:t>•</w:t>
            </w:r>
          </w:p>
        </w:tc>
        <w:tc>
          <w:tcPr>
            <w:tcW w:w="80" w:type="dxa"/>
            <w:vAlign w:val="bottom"/>
            <w:shd w:val="clear" w:color="auto" w:fill="DBDBDB"/>
          </w:tcPr>
          <w:p>
            <w:pPr>
              <w:spacing w:after="0"/>
              <w:rPr>
                <w:sz w:val="14"/>
                <w:szCs w:val="14"/>
                <w:color w:val="auto"/>
              </w:rPr>
            </w:pPr>
          </w:p>
        </w:tc>
        <w:tc>
          <w:tcPr>
            <w:tcW w:w="156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5% growth</w:t>
            </w:r>
          </w:p>
        </w:tc>
        <w:tc>
          <w:tcPr>
            <w:tcW w:w="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40" w:type="dxa"/>
            <w:vAlign w:val="bottom"/>
            <w:tcBorders>
              <w:left w:val="single" w:sz="8" w:color="DBDBDB"/>
              <w:right w:val="single" w:sz="8" w:color="123054"/>
            </w:tcBorders>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240" w:type="dxa"/>
            <w:vAlign w:val="bottom"/>
            <w:tcBorders>
              <w:right w:val="single" w:sz="8" w:color="123054"/>
            </w:tcBorders>
            <w:vMerge w:val="restart"/>
            <w:shd w:val="clear" w:color="auto" w:fill="DBDBDB"/>
          </w:tcPr>
          <w:p>
            <w:pPr>
              <w:ind w:left="140"/>
              <w:spacing w:after="0"/>
              <w:rPr>
                <w:sz w:val="20"/>
                <w:szCs w:val="20"/>
                <w:color w:val="auto"/>
              </w:rPr>
            </w:pPr>
            <w:r>
              <w:rPr>
                <w:rFonts w:ascii="Arial" w:cs="Arial" w:eastAsia="Arial" w:hAnsi="Arial"/>
                <w:sz w:val="20"/>
                <w:szCs w:val="20"/>
                <w:color w:val="auto"/>
              </w:rPr>
              <w:t>(in millions)</w:t>
            </w:r>
          </w:p>
        </w:tc>
        <w:tc>
          <w:tcPr>
            <w:tcW w:w="280" w:type="dxa"/>
            <w:vAlign w:val="bottom"/>
            <w:vMerge w:val="continue"/>
            <w:shd w:val="clear" w:color="auto" w:fill="DBDBDB"/>
          </w:tcPr>
          <w:p>
            <w:pPr>
              <w:spacing w:after="0"/>
              <w:rPr>
                <w:sz w:val="7"/>
                <w:szCs w:val="7"/>
                <w:color w:val="auto"/>
              </w:rPr>
            </w:pPr>
          </w:p>
        </w:tc>
        <w:tc>
          <w:tcPr>
            <w:tcW w:w="1420" w:type="dxa"/>
            <w:vAlign w:val="bottom"/>
            <w:tcBorders>
              <w:right w:val="single" w:sz="8" w:color="123054"/>
            </w:tcBorders>
            <w:gridSpan w:val="2"/>
            <w:vMerge w:val="continue"/>
            <w:shd w:val="clear" w:color="auto" w:fill="DBDBDB"/>
          </w:tcPr>
          <w:p>
            <w:pPr>
              <w:spacing w:after="0"/>
              <w:rPr>
                <w:sz w:val="7"/>
                <w:szCs w:val="7"/>
                <w:color w:val="auto"/>
              </w:rPr>
            </w:pPr>
          </w:p>
        </w:tc>
        <w:tc>
          <w:tcPr>
            <w:tcW w:w="260" w:type="dxa"/>
            <w:vAlign w:val="bottom"/>
            <w:vMerge w:val="continue"/>
            <w:shd w:val="clear" w:color="auto" w:fill="DBDBDB"/>
          </w:tcPr>
          <w:p>
            <w:pPr>
              <w:spacing w:after="0"/>
              <w:rPr>
                <w:sz w:val="7"/>
                <w:szCs w:val="7"/>
                <w:color w:val="auto"/>
              </w:rPr>
            </w:pPr>
          </w:p>
        </w:tc>
        <w:tc>
          <w:tcPr>
            <w:tcW w:w="1560" w:type="dxa"/>
            <w:vAlign w:val="bottom"/>
            <w:tcBorders>
              <w:right w:val="single" w:sz="8" w:color="123054"/>
            </w:tcBorders>
            <w:gridSpan w:val="2"/>
            <w:vMerge w:val="continue"/>
            <w:shd w:val="clear" w:color="auto" w:fill="DBDBDB"/>
          </w:tcPr>
          <w:p>
            <w:pPr>
              <w:spacing w:after="0"/>
              <w:rPr>
                <w:sz w:val="7"/>
                <w:szCs w:val="7"/>
                <w:color w:val="auto"/>
              </w:rPr>
            </w:pPr>
          </w:p>
        </w:tc>
        <w:tc>
          <w:tcPr>
            <w:tcW w:w="20" w:type="dxa"/>
            <w:vAlign w:val="bottom"/>
            <w:shd w:val="clear" w:color="auto" w:fill="DBDBDB"/>
          </w:tcPr>
          <w:p>
            <w:pPr>
              <w:spacing w:after="0"/>
              <w:rPr>
                <w:sz w:val="7"/>
                <w:szCs w:val="7"/>
                <w:color w:val="auto"/>
              </w:rPr>
            </w:pPr>
          </w:p>
        </w:tc>
        <w:tc>
          <w:tcPr>
            <w:tcW w:w="160" w:type="dxa"/>
            <w:vAlign w:val="bottom"/>
            <w:vMerge w:val="continue"/>
            <w:shd w:val="clear" w:color="auto" w:fill="DBDBDB"/>
          </w:tcPr>
          <w:p>
            <w:pPr>
              <w:spacing w:after="0"/>
              <w:rPr>
                <w:sz w:val="7"/>
                <w:szCs w:val="7"/>
                <w:color w:val="auto"/>
              </w:rPr>
            </w:pPr>
          </w:p>
        </w:tc>
        <w:tc>
          <w:tcPr>
            <w:tcW w:w="80" w:type="dxa"/>
            <w:vAlign w:val="bottom"/>
            <w:vMerge w:val="restart"/>
            <w:shd w:val="clear" w:color="auto" w:fill="DBDBDB"/>
          </w:tcPr>
          <w:p>
            <w:pPr>
              <w:spacing w:after="0"/>
              <w:rPr>
                <w:sz w:val="7"/>
                <w:szCs w:val="7"/>
                <w:color w:val="auto"/>
              </w:rPr>
            </w:pPr>
          </w:p>
        </w:tc>
        <w:tc>
          <w:tcPr>
            <w:tcW w:w="1560" w:type="dxa"/>
            <w:vAlign w:val="bottom"/>
            <w:tcBorders>
              <w:right w:val="single" w:sz="8" w:color="123054"/>
            </w:tcBorders>
            <w:gridSpan w:val="2"/>
            <w:vMerge w:val="continue"/>
            <w:shd w:val="clear" w:color="auto" w:fill="DBDBDB"/>
          </w:tcPr>
          <w:p>
            <w:pPr>
              <w:spacing w:after="0"/>
              <w:rPr>
                <w:sz w:val="7"/>
                <w:szCs w:val="7"/>
                <w:color w:val="auto"/>
              </w:rPr>
            </w:pPr>
          </w:p>
        </w:tc>
        <w:tc>
          <w:tcPr>
            <w:tcW w:w="2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98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w:t>
            </w:r>
          </w:p>
        </w:tc>
        <w:tc>
          <w:tcPr>
            <w:tcW w:w="9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vMerge w:val="continue"/>
            <w:shd w:val="clear" w:color="auto" w:fill="DBDBDB"/>
          </w:tcPr>
          <w:p>
            <w:pPr>
              <w:spacing w:after="0" w:line="20" w:lineRule="exact"/>
              <w:rPr>
                <w:sz w:val="1"/>
                <w:szCs w:val="1"/>
                <w:color w:val="auto"/>
              </w:rPr>
            </w:pPr>
          </w:p>
        </w:tc>
        <w:tc>
          <w:tcPr>
            <w:tcW w:w="280" w:type="dxa"/>
            <w:vAlign w:val="bottom"/>
            <w:vMerge w:val="continue"/>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shd w:val="clear" w:color="auto" w:fill="DBDBDB"/>
          </w:tcPr>
          <w:p>
            <w:pPr>
              <w:spacing w:after="0" w:line="20" w:lineRule="exact"/>
              <w:rPr>
                <w:sz w:val="1"/>
                <w:szCs w:val="1"/>
                <w:color w:val="auto"/>
              </w:rPr>
            </w:pPr>
          </w:p>
        </w:tc>
        <w:tc>
          <w:tcPr>
            <w:tcW w:w="260" w:type="dxa"/>
            <w:vAlign w:val="bottom"/>
            <w:vMerge w:val="continue"/>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left w:val="single" w:sz="8" w:color="DBDBDB"/>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60" w:type="dxa"/>
            <w:vAlign w:val="bottom"/>
            <w:vMerge w:val="continue"/>
            <w:shd w:val="clear" w:color="auto" w:fill="DBDBDB"/>
          </w:tcPr>
          <w:p>
            <w:pPr>
              <w:spacing w:after="0" w:line="20" w:lineRule="exact"/>
              <w:rPr>
                <w:sz w:val="1"/>
                <w:szCs w:val="1"/>
                <w:color w:val="auto"/>
              </w:rPr>
            </w:pPr>
          </w:p>
        </w:tc>
        <w:tc>
          <w:tcPr>
            <w:tcW w:w="80" w:type="dxa"/>
            <w:vAlign w:val="bottom"/>
            <w:vMerge w:val="continue"/>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980" w:type="dxa"/>
            <w:vAlign w:val="bottom"/>
            <w:tcBorders>
              <w:right w:val="single" w:sz="8" w:color="123054"/>
            </w:tcBorders>
            <w:gridSpan w:val="2"/>
            <w:vMerge w:val="continue"/>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40" w:type="dxa"/>
            <w:vAlign w:val="bottom"/>
            <w:tcBorders>
              <w:right w:val="single" w:sz="8" w:color="123054"/>
            </w:tcBorders>
            <w:vMerge w:val="continue"/>
            <w:shd w:val="clear" w:color="auto" w:fill="DBDBDB"/>
          </w:tcPr>
          <w:p>
            <w:pPr>
              <w:spacing w:after="0"/>
              <w:rPr>
                <w:sz w:val="13"/>
                <w:szCs w:val="13"/>
                <w:color w:val="auto"/>
              </w:rPr>
            </w:pPr>
          </w:p>
        </w:tc>
        <w:tc>
          <w:tcPr>
            <w:tcW w:w="280" w:type="dxa"/>
            <w:vAlign w:val="bottom"/>
            <w:vMerge w:val="continue"/>
            <w:shd w:val="clear" w:color="auto" w:fill="DBDBDB"/>
          </w:tcPr>
          <w:p>
            <w:pPr>
              <w:spacing w:after="0"/>
              <w:rPr>
                <w:sz w:val="13"/>
                <w:szCs w:val="13"/>
                <w:color w:val="auto"/>
              </w:rPr>
            </w:pPr>
          </w:p>
        </w:tc>
        <w:tc>
          <w:tcPr>
            <w:tcW w:w="1420" w:type="dxa"/>
            <w:vAlign w:val="bottom"/>
            <w:tcBorders>
              <w:right w:val="single" w:sz="8" w:color="123054"/>
            </w:tcBorders>
            <w:gridSpan w:val="2"/>
            <w:vMerge w:val="restart"/>
            <w:shd w:val="clear" w:color="auto" w:fill="DBDBDB"/>
          </w:tcPr>
          <w:p>
            <w:pPr>
              <w:spacing w:after="0" w:line="209" w:lineRule="exact"/>
              <w:rPr>
                <w:sz w:val="20"/>
                <w:szCs w:val="20"/>
                <w:color w:val="auto"/>
              </w:rPr>
            </w:pPr>
            <w:r>
              <w:rPr>
                <w:rFonts w:ascii="Arial" w:cs="Arial" w:eastAsia="Arial" w:hAnsi="Arial"/>
                <w:sz w:val="20"/>
                <w:szCs w:val="20"/>
                <w:color w:val="auto"/>
              </w:rPr>
              <w:t>growth in</w:t>
            </w:r>
          </w:p>
        </w:tc>
        <w:tc>
          <w:tcPr>
            <w:tcW w:w="260" w:type="dxa"/>
            <w:vAlign w:val="bottom"/>
            <w:vMerge w:val="continue"/>
            <w:shd w:val="clear" w:color="auto" w:fill="DBDBDB"/>
          </w:tcPr>
          <w:p>
            <w:pPr>
              <w:spacing w:after="0"/>
              <w:rPr>
                <w:sz w:val="13"/>
                <w:szCs w:val="13"/>
                <w:color w:val="auto"/>
              </w:rPr>
            </w:pPr>
          </w:p>
        </w:tc>
        <w:tc>
          <w:tcPr>
            <w:tcW w:w="1560" w:type="dxa"/>
            <w:vAlign w:val="bottom"/>
            <w:tcBorders>
              <w:right w:val="single" w:sz="8" w:color="123054"/>
            </w:tcBorders>
            <w:gridSpan w:val="2"/>
            <w:vMerge w:val="restart"/>
            <w:shd w:val="clear" w:color="auto" w:fill="DBDBDB"/>
          </w:tcPr>
          <w:p>
            <w:pPr>
              <w:spacing w:after="0" w:line="209" w:lineRule="exact"/>
              <w:rPr>
                <w:sz w:val="20"/>
                <w:szCs w:val="20"/>
                <w:color w:val="auto"/>
              </w:rPr>
            </w:pPr>
            <w:r>
              <w:rPr>
                <w:rFonts w:ascii="Arial" w:cs="Arial" w:eastAsia="Arial" w:hAnsi="Arial"/>
                <w:sz w:val="20"/>
                <w:szCs w:val="20"/>
                <w:color w:val="auto"/>
                <w:w w:val="96"/>
              </w:rPr>
              <w:t>in actual 2022 net</w:t>
            </w:r>
          </w:p>
        </w:tc>
        <w:tc>
          <w:tcPr>
            <w:tcW w:w="20" w:type="dxa"/>
            <w:vAlign w:val="bottom"/>
            <w:shd w:val="clear" w:color="auto" w:fill="DBDBDB"/>
          </w:tcPr>
          <w:p>
            <w:pPr>
              <w:spacing w:after="0"/>
              <w:rPr>
                <w:sz w:val="13"/>
                <w:szCs w:val="13"/>
                <w:color w:val="auto"/>
              </w:rPr>
            </w:pPr>
          </w:p>
        </w:tc>
        <w:tc>
          <w:tcPr>
            <w:tcW w:w="160" w:type="dxa"/>
            <w:vAlign w:val="bottom"/>
            <w:vMerge w:val="continue"/>
            <w:shd w:val="clear" w:color="auto" w:fill="DBDBDB"/>
          </w:tcPr>
          <w:p>
            <w:pPr>
              <w:spacing w:after="0"/>
              <w:rPr>
                <w:sz w:val="13"/>
                <w:szCs w:val="13"/>
                <w:color w:val="auto"/>
              </w:rPr>
            </w:pPr>
          </w:p>
        </w:tc>
        <w:tc>
          <w:tcPr>
            <w:tcW w:w="1640" w:type="dxa"/>
            <w:vAlign w:val="bottom"/>
            <w:tcBorders>
              <w:right w:val="single" w:sz="8" w:color="123054"/>
            </w:tcBorders>
            <w:gridSpan w:val="3"/>
            <w:vMerge w:val="restart"/>
            <w:shd w:val="clear" w:color="auto" w:fill="DBDBDB"/>
          </w:tcPr>
          <w:p>
            <w:pPr>
              <w:ind w:left="80"/>
              <w:spacing w:after="0" w:line="209" w:lineRule="exact"/>
              <w:rPr>
                <w:sz w:val="20"/>
                <w:szCs w:val="20"/>
                <w:color w:val="auto"/>
              </w:rPr>
            </w:pPr>
            <w:r>
              <w:rPr>
                <w:rFonts w:ascii="Arial" w:cs="Arial" w:eastAsia="Arial" w:hAnsi="Arial"/>
                <w:sz w:val="20"/>
                <w:szCs w:val="20"/>
                <w:color w:val="auto"/>
                <w:w w:val="96"/>
              </w:rPr>
              <w:t>in actual 2022 net</w:t>
            </w:r>
          </w:p>
        </w:tc>
        <w:tc>
          <w:tcPr>
            <w:tcW w:w="260" w:type="dxa"/>
            <w:vAlign w:val="bottom"/>
            <w:gridSpan w:val="2"/>
            <w:vMerge w:val="restart"/>
            <w:shd w:val="clear" w:color="auto" w:fill="DBDBDB"/>
          </w:tcPr>
          <w:p>
            <w:pPr>
              <w:ind w:left="20"/>
              <w:spacing w:after="0" w:line="209" w:lineRule="exact"/>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vMerge w:val="continue"/>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40" w:type="dxa"/>
            <w:vAlign w:val="bottom"/>
            <w:tcBorders>
              <w:right w:val="single" w:sz="8" w:color="123054"/>
            </w:tcBorders>
            <w:shd w:val="clear" w:color="auto" w:fill="DBDBDB"/>
          </w:tcPr>
          <w:p>
            <w:pPr>
              <w:spacing w:after="0"/>
              <w:rPr>
                <w:sz w:val="5"/>
                <w:szCs w:val="5"/>
                <w:color w:val="auto"/>
              </w:rPr>
            </w:pPr>
          </w:p>
        </w:tc>
        <w:tc>
          <w:tcPr>
            <w:tcW w:w="280" w:type="dxa"/>
            <w:vAlign w:val="bottom"/>
            <w:shd w:val="clear" w:color="auto" w:fill="DBDBDB"/>
          </w:tcPr>
          <w:p>
            <w:pPr>
              <w:spacing w:after="0"/>
              <w:rPr>
                <w:sz w:val="5"/>
                <w:szCs w:val="5"/>
                <w:color w:val="auto"/>
              </w:rPr>
            </w:pPr>
          </w:p>
        </w:tc>
        <w:tc>
          <w:tcPr>
            <w:tcW w:w="1420" w:type="dxa"/>
            <w:vAlign w:val="bottom"/>
            <w:tcBorders>
              <w:right w:val="single" w:sz="8" w:color="123054"/>
            </w:tcBorders>
            <w:gridSpan w:val="2"/>
            <w:vMerge w:val="continue"/>
            <w:shd w:val="clear" w:color="auto" w:fill="DBDBDB"/>
          </w:tcPr>
          <w:p>
            <w:pPr>
              <w:spacing w:after="0"/>
              <w:rPr>
                <w:sz w:val="5"/>
                <w:szCs w:val="5"/>
                <w:color w:val="auto"/>
              </w:rPr>
            </w:pPr>
          </w:p>
        </w:tc>
        <w:tc>
          <w:tcPr>
            <w:tcW w:w="260" w:type="dxa"/>
            <w:vAlign w:val="bottom"/>
            <w:shd w:val="clear" w:color="auto" w:fill="DBDBDB"/>
          </w:tcPr>
          <w:p>
            <w:pPr>
              <w:spacing w:after="0"/>
              <w:rPr>
                <w:sz w:val="5"/>
                <w:szCs w:val="5"/>
                <w:color w:val="auto"/>
              </w:rPr>
            </w:pPr>
          </w:p>
        </w:tc>
        <w:tc>
          <w:tcPr>
            <w:tcW w:w="1560" w:type="dxa"/>
            <w:vAlign w:val="bottom"/>
            <w:tcBorders>
              <w:right w:val="single" w:sz="8" w:color="123054"/>
            </w:tcBorders>
            <w:gridSpan w:val="2"/>
            <w:vMerge w:val="continue"/>
            <w:shd w:val="clear" w:color="auto" w:fill="DBDBDB"/>
          </w:tcPr>
          <w:p>
            <w:pPr>
              <w:spacing w:after="0"/>
              <w:rPr>
                <w:sz w:val="5"/>
                <w:szCs w:val="5"/>
                <w:color w:val="auto"/>
              </w:rPr>
            </w:pPr>
          </w:p>
        </w:tc>
        <w:tc>
          <w:tcPr>
            <w:tcW w:w="20" w:type="dxa"/>
            <w:vAlign w:val="bottom"/>
            <w:shd w:val="clear" w:color="auto" w:fill="DBDBDB"/>
          </w:tcPr>
          <w:p>
            <w:pPr>
              <w:spacing w:after="0"/>
              <w:rPr>
                <w:sz w:val="5"/>
                <w:szCs w:val="5"/>
                <w:color w:val="auto"/>
              </w:rPr>
            </w:pPr>
          </w:p>
        </w:tc>
        <w:tc>
          <w:tcPr>
            <w:tcW w:w="160" w:type="dxa"/>
            <w:vAlign w:val="bottom"/>
            <w:shd w:val="clear" w:color="auto" w:fill="DBDBDB"/>
          </w:tcPr>
          <w:p>
            <w:pPr>
              <w:spacing w:after="0"/>
              <w:rPr>
                <w:sz w:val="5"/>
                <w:szCs w:val="5"/>
                <w:color w:val="auto"/>
              </w:rPr>
            </w:pPr>
          </w:p>
        </w:tc>
        <w:tc>
          <w:tcPr>
            <w:tcW w:w="1640" w:type="dxa"/>
            <w:vAlign w:val="bottom"/>
            <w:tcBorders>
              <w:right w:val="single" w:sz="8" w:color="123054"/>
            </w:tcBorders>
            <w:gridSpan w:val="3"/>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980" w:type="dxa"/>
            <w:vAlign w:val="bottom"/>
            <w:tcBorders>
              <w:right w:val="single" w:sz="8" w:color="123054"/>
            </w:tcBorders>
            <w:gridSpan w:val="2"/>
            <w:vMerge w:val="continue"/>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shd w:val="clear" w:color="auto" w:fill="DBDBDB"/>
          </w:tcPr>
          <w:p>
            <w:pPr>
              <w:spacing w:after="0" w:line="20" w:lineRule="exact"/>
              <w:rPr>
                <w:sz w:val="1"/>
                <w:szCs w:val="1"/>
                <w:color w:val="auto"/>
              </w:rPr>
            </w:pPr>
          </w:p>
        </w:tc>
        <w:tc>
          <w:tcPr>
            <w:tcW w:w="280" w:type="dxa"/>
            <w:vAlign w:val="bottom"/>
            <w:shd w:val="clear" w:color="auto" w:fill="DBDBDB"/>
          </w:tcPr>
          <w:p>
            <w:pPr>
              <w:spacing w:after="0" w:line="20" w:lineRule="exact"/>
              <w:rPr>
                <w:sz w:val="1"/>
                <w:szCs w:val="1"/>
                <w:color w:val="auto"/>
              </w:rPr>
            </w:pPr>
          </w:p>
        </w:tc>
        <w:tc>
          <w:tcPr>
            <w:tcW w:w="1420" w:type="dxa"/>
            <w:vAlign w:val="bottom"/>
            <w:tcBorders>
              <w:right w:val="single" w:sz="8" w:color="123054"/>
            </w:tcBorders>
            <w:gridSpan w:val="2"/>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560" w:type="dxa"/>
            <w:vAlign w:val="bottom"/>
            <w:tcBorders>
              <w:right w:val="single" w:sz="8" w:color="123054"/>
            </w:tcBorders>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1640" w:type="dxa"/>
            <w:vAlign w:val="bottom"/>
            <w:tcBorders>
              <w:right w:val="single" w:sz="8" w:color="123054"/>
            </w:tcBorders>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left w:val="single" w:sz="8" w:color="auto"/>
              <w:right w:val="single" w:sz="8" w:color="123054"/>
            </w:tcBorders>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tcBorders>
              <w:right w:val="single" w:sz="8" w:color="123054"/>
            </w:tcBorders>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42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rPr>
              <w:t>actual 2022 net</w:t>
            </w:r>
          </w:p>
        </w:tc>
        <w:tc>
          <w:tcPr>
            <w:tcW w:w="260" w:type="dxa"/>
            <w:vAlign w:val="bottom"/>
            <w:shd w:val="clear" w:color="auto" w:fill="DBDBDB"/>
          </w:tcPr>
          <w:p>
            <w:pPr>
              <w:spacing w:after="0"/>
              <w:rPr>
                <w:sz w:val="22"/>
                <w:szCs w:val="22"/>
                <w:color w:val="auto"/>
              </w:rPr>
            </w:pPr>
          </w:p>
        </w:tc>
        <w:tc>
          <w:tcPr>
            <w:tcW w:w="156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rPr>
              <w:t>sales</w:t>
            </w:r>
          </w:p>
        </w:tc>
        <w:tc>
          <w:tcPr>
            <w:tcW w:w="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40" w:type="dxa"/>
            <w:vAlign w:val="bottom"/>
            <w:tcBorders>
              <w:right w:val="single" w:sz="8" w:color="123054"/>
            </w:tcBorders>
            <w:gridSpan w:val="3"/>
            <w:shd w:val="clear" w:color="auto" w:fill="DBDBDB"/>
          </w:tcPr>
          <w:p>
            <w:pPr>
              <w:ind w:left="80"/>
              <w:spacing w:after="0"/>
              <w:rPr>
                <w:sz w:val="20"/>
                <w:szCs w:val="20"/>
                <w:color w:val="auto"/>
              </w:rPr>
            </w:pPr>
            <w:r>
              <w:rPr>
                <w:rFonts w:ascii="Arial" w:cs="Arial" w:eastAsia="Arial" w:hAnsi="Arial"/>
                <w:sz w:val="20"/>
                <w:szCs w:val="20"/>
                <w:color w:val="auto"/>
              </w:rPr>
              <w:t>sales</w:t>
            </w:r>
          </w:p>
        </w:tc>
        <w:tc>
          <w:tcPr>
            <w:tcW w:w="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8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rPr>
              <w:t>$2,946</w:t>
            </w:r>
          </w:p>
        </w:tc>
        <w:tc>
          <w:tcPr>
            <w:tcW w:w="9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40" w:type="dxa"/>
            <w:vAlign w:val="bottom"/>
            <w:tcBorders>
              <w:right w:val="single" w:sz="8" w:color="123054"/>
            </w:tcBorders>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42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rPr>
              <w:t>sales</w:t>
            </w:r>
          </w:p>
        </w:tc>
        <w:tc>
          <w:tcPr>
            <w:tcW w:w="260" w:type="dxa"/>
            <w:vAlign w:val="bottom"/>
            <w:vMerge w:val="restart"/>
            <w:shd w:val="clear" w:color="auto" w:fill="DBDBDB"/>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3% growth</w:t>
            </w:r>
          </w:p>
        </w:tc>
        <w:tc>
          <w:tcPr>
            <w:tcW w:w="20" w:type="dxa"/>
            <w:vAlign w:val="bottom"/>
            <w:shd w:val="clear" w:color="auto" w:fill="DBDBDB"/>
          </w:tcPr>
          <w:p>
            <w:pPr>
              <w:spacing w:after="0"/>
              <w:rPr>
                <w:sz w:val="22"/>
                <w:szCs w:val="22"/>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123054"/>
            </w:tcBorders>
            <w:gridSpan w:val="3"/>
            <w:vMerge w:val="restart"/>
            <w:shd w:val="clear" w:color="auto" w:fill="DBDBDB"/>
          </w:tcPr>
          <w:p>
            <w:pPr>
              <w:ind w:left="80"/>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5% growth</w:t>
            </w:r>
          </w:p>
        </w:tc>
        <w:tc>
          <w:tcPr>
            <w:tcW w:w="20" w:type="dxa"/>
            <w:vAlign w:val="bottom"/>
            <w:shd w:val="clear" w:color="auto" w:fill="DBDBDB"/>
          </w:tcPr>
          <w:p>
            <w:pPr>
              <w:spacing w:after="0"/>
              <w:rPr>
                <w:sz w:val="22"/>
                <w:szCs w:val="22"/>
                <w:color w:val="auto"/>
              </w:rPr>
            </w:pPr>
          </w:p>
        </w:tc>
        <w:tc>
          <w:tcPr>
            <w:tcW w:w="240" w:type="dxa"/>
            <w:vAlign w:val="bottom"/>
            <w:vMerge w:val="restart"/>
            <w:shd w:val="clear" w:color="auto" w:fill="DBDBDB"/>
          </w:tcPr>
          <w:p>
            <w:pPr>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w:t>
            </w:r>
          </w:p>
        </w:tc>
        <w:tc>
          <w:tcPr>
            <w:tcW w:w="9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40" w:type="dxa"/>
            <w:vAlign w:val="bottom"/>
            <w:tcBorders>
              <w:right w:val="single" w:sz="8" w:color="123054"/>
            </w:tcBorders>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1%</w:t>
            </w:r>
          </w:p>
        </w:tc>
        <w:tc>
          <w:tcPr>
            <w:tcW w:w="260" w:type="dxa"/>
            <w:vAlign w:val="bottom"/>
            <w:vMerge w:val="continue"/>
            <w:shd w:val="clear" w:color="auto" w:fill="DBDBDB"/>
          </w:tcPr>
          <w:p>
            <w:pPr>
              <w:spacing w:after="0"/>
              <w:rPr>
                <w:sz w:val="15"/>
                <w:szCs w:val="15"/>
                <w:color w:val="auto"/>
              </w:rPr>
            </w:pPr>
          </w:p>
        </w:tc>
        <w:tc>
          <w:tcPr>
            <w:tcW w:w="1560" w:type="dxa"/>
            <w:vAlign w:val="bottom"/>
            <w:tcBorders>
              <w:right w:val="single" w:sz="8" w:color="123054"/>
            </w:tcBorders>
            <w:gridSpan w:val="2"/>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vMerge w:val="continue"/>
            <w:shd w:val="clear" w:color="auto" w:fill="DBDBDB"/>
          </w:tcPr>
          <w:p>
            <w:pPr>
              <w:spacing w:after="0"/>
              <w:rPr>
                <w:sz w:val="15"/>
                <w:szCs w:val="15"/>
                <w:color w:val="auto"/>
              </w:rPr>
            </w:pPr>
          </w:p>
        </w:tc>
        <w:tc>
          <w:tcPr>
            <w:tcW w:w="1640" w:type="dxa"/>
            <w:vAlign w:val="bottom"/>
            <w:tcBorders>
              <w:right w:val="single" w:sz="8" w:color="123054"/>
            </w:tcBorders>
            <w:gridSpan w:val="3"/>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40" w:type="dxa"/>
            <w:vAlign w:val="bottom"/>
            <w:vMerge w:val="continue"/>
            <w:shd w:val="clear" w:color="auto" w:fill="DBDBDB"/>
          </w:tcPr>
          <w:p>
            <w:pPr>
              <w:spacing w:after="0"/>
              <w:rPr>
                <w:sz w:val="15"/>
                <w:szCs w:val="15"/>
                <w:color w:val="auto"/>
              </w:rPr>
            </w:pPr>
          </w:p>
        </w:tc>
        <w:tc>
          <w:tcPr>
            <w:tcW w:w="980" w:type="dxa"/>
            <w:vAlign w:val="bottom"/>
            <w:tcBorders>
              <w:right w:val="single" w:sz="8" w:color="123054"/>
            </w:tcBorders>
            <w:gridSpan w:val="2"/>
            <w:vMerge w:val="continue"/>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shd w:val="clear" w:color="auto" w:fill="DBDBDB"/>
          </w:tcPr>
          <w:p>
            <w:pPr>
              <w:spacing w:after="0" w:line="20" w:lineRule="exact"/>
              <w:rPr>
                <w:sz w:val="1"/>
                <w:szCs w:val="1"/>
                <w:color w:val="auto"/>
              </w:rPr>
            </w:pPr>
          </w:p>
        </w:tc>
        <w:tc>
          <w:tcPr>
            <w:tcW w:w="280" w:type="dxa"/>
            <w:vAlign w:val="bottom"/>
            <w:shd w:val="clear" w:color="auto" w:fill="DBDBDB"/>
          </w:tcPr>
          <w:p>
            <w:pPr>
              <w:spacing w:after="0" w:line="20" w:lineRule="exact"/>
              <w:rPr>
                <w:sz w:val="1"/>
                <w:szCs w:val="1"/>
                <w:color w:val="auto"/>
              </w:rPr>
            </w:pPr>
          </w:p>
        </w:tc>
        <w:tc>
          <w:tcPr>
            <w:tcW w:w="1420" w:type="dxa"/>
            <w:vAlign w:val="bottom"/>
            <w:tcBorders>
              <w:right w:val="single" w:sz="8" w:color="123054"/>
            </w:tcBorders>
            <w:gridSpan w:val="2"/>
            <w:vMerge w:val="continue"/>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left w:val="single" w:sz="8" w:color="auto"/>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left w:val="single" w:sz="8" w:color="DBDBDB"/>
              <w:right w:val="single" w:sz="8" w:color="123054"/>
            </w:tcBorders>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Borders>
              <w:right w:val="single" w:sz="8" w:color="123054"/>
            </w:tcBorders>
            <w:shd w:val="clear" w:color="auto" w:fill="DBDBDB"/>
          </w:tcPr>
          <w:p>
            <w:pPr>
              <w:spacing w:after="0"/>
              <w:rPr>
                <w:sz w:val="19"/>
                <w:szCs w:val="19"/>
                <w:color w:val="auto"/>
              </w:rPr>
            </w:pPr>
          </w:p>
        </w:tc>
        <w:tc>
          <w:tcPr>
            <w:tcW w:w="280" w:type="dxa"/>
            <w:vAlign w:val="bottom"/>
            <w:shd w:val="clear" w:color="auto" w:fill="DBDBDB"/>
          </w:tcPr>
          <w:p>
            <w:pPr>
              <w:ind w:left="4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vMerge w:val="continue"/>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560" w:type="dxa"/>
            <w:vAlign w:val="bottom"/>
            <w:tcBorders>
              <w:right w:val="single" w:sz="8" w:color="123054"/>
            </w:tcBorders>
            <w:gridSpan w:val="2"/>
            <w:shd w:val="clear" w:color="auto" w:fill="DBDBDB"/>
          </w:tcPr>
          <w:p>
            <w:pPr>
              <w:spacing w:after="0" w:line="223" w:lineRule="exact"/>
              <w:rPr>
                <w:sz w:val="20"/>
                <w:szCs w:val="20"/>
                <w:color w:val="auto"/>
              </w:rPr>
            </w:pPr>
            <w:r>
              <w:rPr>
                <w:rFonts w:ascii="Arial" w:cs="Arial" w:eastAsia="Arial" w:hAnsi="Arial"/>
                <w:sz w:val="20"/>
                <w:szCs w:val="20"/>
                <w:color w:val="auto"/>
                <w:w w:val="96"/>
              </w:rPr>
              <w:t>in actual 2023 net</w:t>
            </w:r>
          </w:p>
        </w:tc>
        <w:tc>
          <w:tcPr>
            <w:tcW w:w="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640" w:type="dxa"/>
            <w:vAlign w:val="bottom"/>
            <w:tcBorders>
              <w:right w:val="single" w:sz="8" w:color="123054"/>
            </w:tcBorders>
            <w:gridSpan w:val="3"/>
            <w:shd w:val="clear" w:color="auto" w:fill="DBDBDB"/>
          </w:tcPr>
          <w:p>
            <w:pPr>
              <w:ind w:left="80"/>
              <w:spacing w:after="0" w:line="223" w:lineRule="exact"/>
              <w:rPr>
                <w:sz w:val="20"/>
                <w:szCs w:val="20"/>
                <w:color w:val="auto"/>
              </w:rPr>
            </w:pPr>
            <w:r>
              <w:rPr>
                <w:rFonts w:ascii="Arial" w:cs="Arial" w:eastAsia="Arial" w:hAnsi="Arial"/>
                <w:sz w:val="20"/>
                <w:szCs w:val="20"/>
                <w:color w:val="auto"/>
                <w:w w:val="96"/>
              </w:rPr>
              <w:t>in actual 2023 net</w:t>
            </w:r>
          </w:p>
        </w:tc>
        <w:tc>
          <w:tcPr>
            <w:tcW w:w="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80" w:type="dxa"/>
            <w:vAlign w:val="bottom"/>
            <w:tcBorders>
              <w:right w:val="single" w:sz="8" w:color="123054"/>
            </w:tcBorders>
            <w:gridSpan w:val="2"/>
            <w:shd w:val="clear" w:color="auto" w:fill="DBDBDB"/>
          </w:tcPr>
          <w:p>
            <w:pPr>
              <w:spacing w:after="0" w:line="223" w:lineRule="exact"/>
              <w:rPr>
                <w:sz w:val="20"/>
                <w:szCs w:val="20"/>
                <w:color w:val="auto"/>
              </w:rPr>
            </w:pPr>
            <w:r>
              <w:rPr>
                <w:rFonts w:ascii="Arial" w:cs="Arial" w:eastAsia="Arial" w:hAnsi="Arial"/>
                <w:sz w:val="20"/>
                <w:szCs w:val="20"/>
                <w:color w:val="auto"/>
              </w:rPr>
              <w:t>$2,844</w:t>
            </w:r>
          </w:p>
        </w:tc>
        <w:tc>
          <w:tcPr>
            <w:tcW w:w="9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shd w:val="clear" w:color="auto" w:fill="DBDBDB"/>
          </w:tcPr>
          <w:p>
            <w:pPr>
              <w:spacing w:after="0" w:line="20" w:lineRule="exact"/>
              <w:rPr>
                <w:sz w:val="1"/>
                <w:szCs w:val="1"/>
                <w:color w:val="auto"/>
              </w:rPr>
            </w:pPr>
          </w:p>
        </w:tc>
        <w:tc>
          <w:tcPr>
            <w:tcW w:w="280" w:type="dxa"/>
            <w:vAlign w:val="bottom"/>
            <w:shd w:val="clear" w:color="auto" w:fill="DBDBDB"/>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560" w:type="dxa"/>
            <w:vAlign w:val="bottom"/>
            <w:tcBorders>
              <w:right w:val="single" w:sz="8" w:color="123054"/>
            </w:tcBorders>
            <w:gridSpan w:val="2"/>
            <w:vMerge w:val="restart"/>
            <w:shd w:val="clear" w:color="auto" w:fill="DBDBDB"/>
          </w:tcPr>
          <w:p>
            <w:pPr>
              <w:spacing w:after="0"/>
              <w:rPr>
                <w:sz w:val="20"/>
                <w:szCs w:val="20"/>
                <w:color w:val="auto"/>
              </w:rPr>
            </w:pPr>
            <w:r>
              <w:rPr>
                <w:rFonts w:ascii="Arial" w:cs="Arial" w:eastAsia="Arial" w:hAnsi="Arial"/>
                <w:sz w:val="20"/>
                <w:szCs w:val="20"/>
                <w:color w:val="auto"/>
              </w:rPr>
              <w:t>sales</w:t>
            </w:r>
          </w:p>
        </w:tc>
        <w:tc>
          <w:tcPr>
            <w:tcW w:w="2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1640" w:type="dxa"/>
            <w:vAlign w:val="bottom"/>
            <w:tcBorders>
              <w:right w:val="single" w:sz="8" w:color="123054"/>
            </w:tcBorders>
            <w:gridSpan w:val="3"/>
            <w:vMerge w:val="restart"/>
            <w:shd w:val="clear" w:color="auto" w:fill="DBDBDB"/>
          </w:tcPr>
          <w:p>
            <w:pPr>
              <w:ind w:left="80"/>
              <w:spacing w:after="0"/>
              <w:rPr>
                <w:sz w:val="20"/>
                <w:szCs w:val="20"/>
                <w:color w:val="auto"/>
              </w:rPr>
            </w:pPr>
            <w:r>
              <w:rPr>
                <w:rFonts w:ascii="Arial" w:cs="Arial" w:eastAsia="Arial" w:hAnsi="Arial"/>
                <w:sz w:val="20"/>
                <w:szCs w:val="20"/>
                <w:color w:val="auto"/>
              </w:rPr>
              <w:t>sales</w:t>
            </w:r>
          </w:p>
        </w:tc>
        <w:tc>
          <w:tcPr>
            <w:tcW w:w="2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440" w:type="dxa"/>
            <w:vAlign w:val="bottom"/>
            <w:shd w:val="clear" w:color="auto" w:fill="DBDBDB"/>
          </w:tcPr>
          <w:p>
            <w:pPr>
              <w:spacing w:after="0" w:line="20" w:lineRule="exact"/>
              <w:rPr>
                <w:sz w:val="1"/>
                <w:szCs w:val="1"/>
                <w:color w:val="auto"/>
              </w:rPr>
            </w:pPr>
          </w:p>
        </w:tc>
        <w:tc>
          <w:tcPr>
            <w:tcW w:w="540" w:type="dxa"/>
            <w:vAlign w:val="bottom"/>
            <w:tcBorders>
              <w:left w:val="single" w:sz="8" w:color="DBDBDB"/>
              <w:right w:val="single" w:sz="8" w:color="123054"/>
            </w:tcBorders>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Borders>
              <w:right w:val="single" w:sz="8" w:color="123054"/>
            </w:tcBorders>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42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w w:val="98"/>
              </w:rPr>
              <w:t>growth in actual</w:t>
            </w:r>
          </w:p>
        </w:tc>
        <w:tc>
          <w:tcPr>
            <w:tcW w:w="260" w:type="dxa"/>
            <w:vAlign w:val="bottom"/>
            <w:shd w:val="clear" w:color="auto" w:fill="DBDBDB"/>
          </w:tcPr>
          <w:p>
            <w:pPr>
              <w:spacing w:after="0"/>
              <w:rPr>
                <w:sz w:val="21"/>
                <w:szCs w:val="21"/>
                <w:color w:val="auto"/>
              </w:rPr>
            </w:pPr>
          </w:p>
        </w:tc>
        <w:tc>
          <w:tcPr>
            <w:tcW w:w="1560" w:type="dxa"/>
            <w:vAlign w:val="bottom"/>
            <w:tcBorders>
              <w:right w:val="single" w:sz="8" w:color="123054"/>
            </w:tcBorders>
            <w:gridSpan w:val="2"/>
            <w:vMerge w:val="continue"/>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40" w:type="dxa"/>
            <w:vAlign w:val="bottom"/>
            <w:tcBorders>
              <w:right w:val="single" w:sz="8" w:color="123054"/>
            </w:tcBorders>
            <w:gridSpan w:val="3"/>
            <w:vMerge w:val="continue"/>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540" w:type="dxa"/>
            <w:vAlign w:val="bottom"/>
            <w:tcBorders>
              <w:left w:val="single" w:sz="8" w:color="DBDBDB"/>
              <w:right w:val="single" w:sz="8" w:color="123054"/>
            </w:tcBorders>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240" w:type="dxa"/>
            <w:vAlign w:val="bottom"/>
            <w:tcBorders>
              <w:right w:val="single" w:sz="8" w:color="123054"/>
            </w:tcBorders>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420" w:type="dxa"/>
            <w:vAlign w:val="bottom"/>
            <w:tcBorders>
              <w:right w:val="single" w:sz="8" w:color="123054"/>
            </w:tcBorders>
            <w:gridSpan w:val="2"/>
            <w:shd w:val="clear" w:color="auto" w:fill="DBDBDB"/>
          </w:tcPr>
          <w:p>
            <w:pPr>
              <w:spacing w:after="0"/>
              <w:rPr>
                <w:sz w:val="20"/>
                <w:szCs w:val="20"/>
                <w:color w:val="auto"/>
              </w:rPr>
            </w:pPr>
            <w:r>
              <w:rPr>
                <w:rFonts w:ascii="Arial" w:cs="Arial" w:eastAsia="Arial" w:hAnsi="Arial"/>
                <w:sz w:val="20"/>
                <w:szCs w:val="20"/>
                <w:color w:val="auto"/>
              </w:rPr>
              <w:t>2023 net sales</w:t>
            </w:r>
          </w:p>
        </w:tc>
        <w:tc>
          <w:tcPr>
            <w:tcW w:w="2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1120" w:type="dxa"/>
            <w:vAlign w:val="bottom"/>
            <w:tcBorders>
              <w:left w:val="single" w:sz="8" w:color="DBDBDB"/>
              <w:right w:val="single" w:sz="8" w:color="123054"/>
            </w:tcBorders>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1120" w:type="dxa"/>
            <w:vAlign w:val="bottom"/>
            <w:tcBorders>
              <w:right w:val="single" w:sz="8" w:color="123054"/>
            </w:tcBorders>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540" w:type="dxa"/>
            <w:vAlign w:val="bottom"/>
            <w:tcBorders>
              <w:left w:val="single" w:sz="8" w:color="DBDBDB"/>
              <w:right w:val="single" w:sz="8" w:color="123054"/>
            </w:tcBorders>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240" w:type="dxa"/>
            <w:vAlign w:val="bottom"/>
            <w:tcBorders>
              <w:bottom w:val="single" w:sz="8" w:color="123054"/>
              <w:right w:val="single" w:sz="8" w:color="123054"/>
            </w:tcBorders>
            <w:shd w:val="clear" w:color="auto" w:fill="DBDBDB"/>
          </w:tcPr>
          <w:p>
            <w:pPr>
              <w:spacing w:after="0"/>
              <w:rPr>
                <w:sz w:val="14"/>
                <w:szCs w:val="14"/>
                <w:color w:val="auto"/>
              </w:rPr>
            </w:pPr>
          </w:p>
        </w:tc>
        <w:tc>
          <w:tcPr>
            <w:tcW w:w="280" w:type="dxa"/>
            <w:vAlign w:val="bottom"/>
            <w:tcBorders>
              <w:bottom w:val="single" w:sz="8" w:color="123054"/>
            </w:tcBorders>
            <w:shd w:val="clear" w:color="auto" w:fill="DBDBDB"/>
          </w:tcPr>
          <w:p>
            <w:pPr>
              <w:spacing w:after="0"/>
              <w:rPr>
                <w:sz w:val="14"/>
                <w:szCs w:val="14"/>
                <w:color w:val="auto"/>
              </w:rPr>
            </w:pPr>
          </w:p>
        </w:tc>
        <w:tc>
          <w:tcPr>
            <w:tcW w:w="440" w:type="dxa"/>
            <w:vAlign w:val="bottom"/>
            <w:tcBorders>
              <w:bottom w:val="single" w:sz="8" w:color="123054"/>
            </w:tcBorders>
            <w:shd w:val="clear" w:color="auto" w:fill="DBDBDB"/>
          </w:tcPr>
          <w:p>
            <w:pPr>
              <w:spacing w:after="0"/>
              <w:rPr>
                <w:sz w:val="14"/>
                <w:szCs w:val="14"/>
                <w:color w:val="auto"/>
              </w:rPr>
            </w:pPr>
          </w:p>
        </w:tc>
        <w:tc>
          <w:tcPr>
            <w:tcW w:w="980" w:type="dxa"/>
            <w:vAlign w:val="bottom"/>
            <w:tcBorders>
              <w:bottom w:val="single" w:sz="8" w:color="123054"/>
              <w:right w:val="single" w:sz="8" w:color="123054"/>
            </w:tcBorders>
            <w:shd w:val="clear" w:color="auto" w:fill="DBDBDB"/>
          </w:tcPr>
          <w:p>
            <w:pPr>
              <w:spacing w:after="0"/>
              <w:rPr>
                <w:sz w:val="14"/>
                <w:szCs w:val="14"/>
                <w:color w:val="auto"/>
              </w:rPr>
            </w:pPr>
          </w:p>
        </w:tc>
        <w:tc>
          <w:tcPr>
            <w:tcW w:w="260" w:type="dxa"/>
            <w:vAlign w:val="bottom"/>
            <w:tcBorders>
              <w:bottom w:val="single" w:sz="8" w:color="123054"/>
            </w:tcBorders>
            <w:shd w:val="clear" w:color="auto" w:fill="DBDBDB"/>
          </w:tcPr>
          <w:p>
            <w:pPr>
              <w:spacing w:after="0"/>
              <w:rPr>
                <w:sz w:val="14"/>
                <w:szCs w:val="14"/>
                <w:color w:val="auto"/>
              </w:rPr>
            </w:pPr>
          </w:p>
        </w:tc>
        <w:tc>
          <w:tcPr>
            <w:tcW w:w="440" w:type="dxa"/>
            <w:vAlign w:val="bottom"/>
            <w:tcBorders>
              <w:bottom w:val="single" w:sz="8" w:color="123054"/>
            </w:tcBorders>
            <w:shd w:val="clear" w:color="auto" w:fill="DBDBDB"/>
          </w:tcPr>
          <w:p>
            <w:pPr>
              <w:spacing w:after="0"/>
              <w:rPr>
                <w:sz w:val="14"/>
                <w:szCs w:val="14"/>
                <w:color w:val="auto"/>
              </w:rPr>
            </w:pPr>
          </w:p>
        </w:tc>
        <w:tc>
          <w:tcPr>
            <w:tcW w:w="1120" w:type="dxa"/>
            <w:vAlign w:val="bottom"/>
            <w:tcBorders>
              <w:left w:val="single" w:sz="8" w:color="DBDBDB"/>
              <w:bottom w:val="single" w:sz="8" w:color="123054"/>
              <w:right w:val="single" w:sz="8" w:color="123054"/>
            </w:tcBorders>
            <w:shd w:val="clear" w:color="auto" w:fill="DBDBDB"/>
          </w:tcPr>
          <w:p>
            <w:pPr>
              <w:spacing w:after="0"/>
              <w:rPr>
                <w:sz w:val="14"/>
                <w:szCs w:val="14"/>
                <w:color w:val="auto"/>
              </w:rPr>
            </w:pPr>
          </w:p>
        </w:tc>
        <w:tc>
          <w:tcPr>
            <w:tcW w:w="20" w:type="dxa"/>
            <w:vAlign w:val="bottom"/>
            <w:tcBorders>
              <w:bottom w:val="single" w:sz="8" w:color="123054"/>
            </w:tcBorders>
            <w:shd w:val="clear" w:color="auto" w:fill="DBDBDB"/>
          </w:tcPr>
          <w:p>
            <w:pPr>
              <w:spacing w:after="0"/>
              <w:rPr>
                <w:sz w:val="14"/>
                <w:szCs w:val="14"/>
                <w:color w:val="auto"/>
              </w:rPr>
            </w:pPr>
          </w:p>
        </w:tc>
        <w:tc>
          <w:tcPr>
            <w:tcW w:w="160" w:type="dxa"/>
            <w:vAlign w:val="bottom"/>
            <w:tcBorders>
              <w:bottom w:val="single" w:sz="8" w:color="123054"/>
            </w:tcBorders>
            <w:shd w:val="clear" w:color="auto" w:fill="DBDBDB"/>
          </w:tcPr>
          <w:p>
            <w:pPr>
              <w:spacing w:after="0"/>
              <w:rPr>
                <w:sz w:val="14"/>
                <w:szCs w:val="14"/>
                <w:color w:val="auto"/>
              </w:rPr>
            </w:pPr>
          </w:p>
        </w:tc>
        <w:tc>
          <w:tcPr>
            <w:tcW w:w="80" w:type="dxa"/>
            <w:vAlign w:val="bottom"/>
            <w:tcBorders>
              <w:bottom w:val="single" w:sz="8" w:color="123054"/>
            </w:tcBorders>
            <w:shd w:val="clear" w:color="auto" w:fill="DBDBDB"/>
          </w:tcPr>
          <w:p>
            <w:pPr>
              <w:spacing w:after="0"/>
              <w:rPr>
                <w:sz w:val="14"/>
                <w:szCs w:val="14"/>
                <w:color w:val="auto"/>
              </w:rPr>
            </w:pPr>
          </w:p>
        </w:tc>
        <w:tc>
          <w:tcPr>
            <w:tcW w:w="440" w:type="dxa"/>
            <w:vAlign w:val="bottom"/>
            <w:tcBorders>
              <w:bottom w:val="single" w:sz="8" w:color="123054"/>
            </w:tcBorders>
            <w:shd w:val="clear" w:color="auto" w:fill="DBDBDB"/>
          </w:tcPr>
          <w:p>
            <w:pPr>
              <w:spacing w:after="0"/>
              <w:rPr>
                <w:sz w:val="14"/>
                <w:szCs w:val="14"/>
                <w:color w:val="auto"/>
              </w:rPr>
            </w:pPr>
          </w:p>
        </w:tc>
        <w:tc>
          <w:tcPr>
            <w:tcW w:w="1120" w:type="dxa"/>
            <w:vAlign w:val="bottom"/>
            <w:tcBorders>
              <w:bottom w:val="single" w:sz="8" w:color="123054"/>
              <w:right w:val="single" w:sz="8" w:color="123054"/>
            </w:tcBorders>
            <w:shd w:val="clear" w:color="auto" w:fill="DBDBDB"/>
          </w:tcPr>
          <w:p>
            <w:pPr>
              <w:spacing w:after="0"/>
              <w:rPr>
                <w:sz w:val="14"/>
                <w:szCs w:val="14"/>
                <w:color w:val="auto"/>
              </w:rPr>
            </w:pPr>
          </w:p>
        </w:tc>
        <w:tc>
          <w:tcPr>
            <w:tcW w:w="20" w:type="dxa"/>
            <w:vAlign w:val="bottom"/>
            <w:tcBorders>
              <w:bottom w:val="single" w:sz="8" w:color="123054"/>
            </w:tcBorders>
            <w:shd w:val="clear" w:color="auto" w:fill="DBDBDB"/>
          </w:tcPr>
          <w:p>
            <w:pPr>
              <w:spacing w:after="0"/>
              <w:rPr>
                <w:sz w:val="14"/>
                <w:szCs w:val="14"/>
                <w:color w:val="auto"/>
              </w:rPr>
            </w:pPr>
          </w:p>
        </w:tc>
        <w:tc>
          <w:tcPr>
            <w:tcW w:w="240" w:type="dxa"/>
            <w:vAlign w:val="bottom"/>
            <w:tcBorders>
              <w:bottom w:val="single" w:sz="8" w:color="123054"/>
            </w:tcBorders>
            <w:shd w:val="clear" w:color="auto" w:fill="DBDBDB"/>
          </w:tcPr>
          <w:p>
            <w:pPr>
              <w:spacing w:after="0"/>
              <w:rPr>
                <w:sz w:val="14"/>
                <w:szCs w:val="14"/>
                <w:color w:val="auto"/>
              </w:rPr>
            </w:pPr>
          </w:p>
        </w:tc>
        <w:tc>
          <w:tcPr>
            <w:tcW w:w="440" w:type="dxa"/>
            <w:vAlign w:val="bottom"/>
            <w:tcBorders>
              <w:bottom w:val="single" w:sz="8" w:color="123054"/>
            </w:tcBorders>
            <w:shd w:val="clear" w:color="auto" w:fill="DBDBDB"/>
          </w:tcPr>
          <w:p>
            <w:pPr>
              <w:spacing w:after="0"/>
              <w:rPr>
                <w:sz w:val="14"/>
                <w:szCs w:val="14"/>
                <w:color w:val="auto"/>
              </w:rPr>
            </w:pPr>
          </w:p>
        </w:tc>
        <w:tc>
          <w:tcPr>
            <w:tcW w:w="540" w:type="dxa"/>
            <w:vAlign w:val="bottom"/>
            <w:tcBorders>
              <w:left w:val="single" w:sz="8" w:color="DBDBDB"/>
              <w:bottom w:val="single" w:sz="8" w:color="123054"/>
              <w:right w:val="single" w:sz="8" w:color="123054"/>
            </w:tcBorders>
            <w:shd w:val="clear" w:color="auto" w:fill="DBDBDB"/>
          </w:tcPr>
          <w:p>
            <w:pPr>
              <w:spacing w:after="0"/>
              <w:rPr>
                <w:sz w:val="14"/>
                <w:szCs w:val="14"/>
                <w:color w:val="auto"/>
              </w:rPr>
            </w:pPr>
          </w:p>
        </w:tc>
        <w:tc>
          <w:tcPr>
            <w:tcW w:w="940" w:type="dxa"/>
            <w:vAlign w:val="bottom"/>
            <w:tcBorders>
              <w:bottom w:val="single" w:sz="8" w:color="123054"/>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right w:val="single" w:sz="8" w:color="123054"/>
            </w:tcBorders>
          </w:tcPr>
          <w:p>
            <w:pPr>
              <w:ind w:left="140"/>
              <w:spacing w:after="0" w:line="209" w:lineRule="exact"/>
              <w:rPr>
                <w:sz w:val="20"/>
                <w:szCs w:val="20"/>
                <w:color w:val="auto"/>
              </w:rPr>
            </w:pPr>
            <w:r>
              <w:rPr>
                <w:rFonts w:ascii="Arial" w:cs="Arial" w:eastAsia="Arial" w:hAnsi="Arial"/>
                <w:sz w:val="20"/>
                <w:szCs w:val="20"/>
                <w:color w:val="auto"/>
              </w:rPr>
              <w:t>Adjusted</w:t>
            </w:r>
          </w:p>
        </w:tc>
        <w:tc>
          <w:tcPr>
            <w:tcW w:w="280" w:type="dxa"/>
            <w:vAlign w:val="bottom"/>
          </w:tcPr>
          <w:p>
            <w:pPr>
              <w:ind w:left="40"/>
              <w:spacing w:after="0" w:line="209" w:lineRule="exact"/>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$7.50</w:t>
            </w:r>
          </w:p>
        </w:tc>
        <w:tc>
          <w:tcPr>
            <w:tcW w:w="260" w:type="dxa"/>
            <w:vAlign w:val="bottom"/>
          </w:tcPr>
          <w:p>
            <w:pPr>
              <w:ind w:left="20"/>
              <w:spacing w:after="0" w:line="209" w:lineRule="exact"/>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$9.02</w:t>
            </w:r>
          </w:p>
        </w:tc>
        <w:tc>
          <w:tcPr>
            <w:tcW w:w="20" w:type="dxa"/>
            <w:vAlign w:val="bottom"/>
          </w:tcPr>
          <w:p>
            <w:pPr>
              <w:spacing w:after="0"/>
              <w:rPr>
                <w:sz w:val="18"/>
                <w:szCs w:val="18"/>
                <w:color w:val="auto"/>
              </w:rPr>
            </w:pPr>
          </w:p>
        </w:tc>
        <w:tc>
          <w:tcPr>
            <w:tcW w:w="160" w:type="dxa"/>
            <w:vAlign w:val="bottom"/>
          </w:tcPr>
          <w:p>
            <w:pPr>
              <w:spacing w:after="0" w:line="209"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123054"/>
            </w:tcBorders>
            <w:gridSpan w:val="3"/>
          </w:tcPr>
          <w:p>
            <w:pPr>
              <w:ind w:left="80"/>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 $9.21</w:t>
            </w:r>
          </w:p>
        </w:tc>
        <w:tc>
          <w:tcPr>
            <w:tcW w:w="20" w:type="dxa"/>
            <w:vAlign w:val="bottom"/>
          </w:tcPr>
          <w:p>
            <w:pPr>
              <w:spacing w:after="0"/>
              <w:rPr>
                <w:sz w:val="18"/>
                <w:szCs w:val="18"/>
                <w:color w:val="auto"/>
              </w:rPr>
            </w:pPr>
          </w:p>
        </w:tc>
        <w:tc>
          <w:tcPr>
            <w:tcW w:w="240" w:type="dxa"/>
            <w:vAlign w:val="bottom"/>
          </w:tcPr>
          <w:p>
            <w:pPr>
              <w:spacing w:after="0" w:line="209" w:lineRule="exact"/>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tcPr>
          <w:p>
            <w:pPr>
              <w:spacing w:after="0" w:line="209" w:lineRule="exact"/>
              <w:rPr>
                <w:sz w:val="20"/>
                <w:szCs w:val="20"/>
                <w:color w:val="auto"/>
              </w:rPr>
            </w:pPr>
            <w:r>
              <w:rPr>
                <w:rFonts w:ascii="Arial" w:cs="Arial" w:eastAsia="Arial" w:hAnsi="Arial"/>
                <w:sz w:val="20"/>
                <w:szCs w:val="20"/>
                <w:b w:val="1"/>
                <w:bCs w:val="1"/>
                <w:color w:val="auto"/>
              </w:rPr>
              <w:t>2022</w:t>
            </w:r>
            <w:r>
              <w:rPr>
                <w:rFonts w:ascii="Arial" w:cs="Arial" w:eastAsia="Arial" w:hAnsi="Arial"/>
                <w:sz w:val="20"/>
                <w:szCs w:val="20"/>
                <w:color w:val="auto"/>
              </w:rPr>
              <w:t>:</w:t>
            </w:r>
          </w:p>
        </w:tc>
        <w:tc>
          <w:tcPr>
            <w:tcW w:w="940" w:type="dxa"/>
            <w:vAlign w:val="bottom"/>
          </w:tcPr>
          <w:p>
            <w:pPr>
              <w:jc w:val="right"/>
              <w:ind w:right="301"/>
              <w:spacing w:after="0" w:line="209"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vMerge w:val="restart"/>
          </w:tcPr>
          <w:p>
            <w:pPr>
              <w:ind w:left="140"/>
              <w:spacing w:after="0" w:line="216" w:lineRule="exact"/>
              <w:rPr>
                <w:sz w:val="20"/>
                <w:szCs w:val="20"/>
                <w:color w:val="auto"/>
              </w:rPr>
            </w:pPr>
            <w:r>
              <w:rPr>
                <w:rFonts w:ascii="Arial" w:cs="Arial" w:eastAsia="Arial" w:hAnsi="Arial"/>
                <w:sz w:val="20"/>
                <w:szCs w:val="20"/>
                <w:color w:val="auto"/>
              </w:rPr>
              <w:t>EPS (50%</w:t>
            </w: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right w:val="single" w:sz="8" w:color="123054"/>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right w:val="single" w:sz="8" w:color="123054"/>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right w:val="single" w:sz="8" w:color="123054"/>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Borders>
              <w:right w:val="single" w:sz="8" w:color="123054"/>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Borders>
              <w:right w:val="single" w:sz="8" w:color="123054"/>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right w:val="single" w:sz="8" w:color="123054"/>
            </w:tcBorders>
            <w:gridSpan w:val="2"/>
          </w:tcPr>
          <w:p>
            <w:pPr>
              <w:spacing w:after="0" w:line="196" w:lineRule="exact"/>
              <w:rPr>
                <w:sz w:val="20"/>
                <w:szCs w:val="20"/>
                <w:color w:val="auto"/>
              </w:rPr>
            </w:pPr>
            <w:r>
              <w:rPr>
                <w:rFonts w:ascii="Arial" w:cs="Arial" w:eastAsia="Arial" w:hAnsi="Arial"/>
                <w:sz w:val="20"/>
                <w:szCs w:val="20"/>
                <w:color w:val="auto"/>
              </w:rPr>
              <w:t>$6.90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40" w:type="dxa"/>
            <w:vAlign w:val="bottom"/>
            <w:tcBorders>
              <w:right w:val="single" w:sz="8" w:color="123054"/>
            </w:tcBorders>
          </w:tcPr>
          <w:p>
            <w:pPr>
              <w:ind w:left="140"/>
              <w:spacing w:after="0"/>
              <w:rPr>
                <w:sz w:val="20"/>
                <w:szCs w:val="20"/>
                <w:color w:val="auto"/>
              </w:rPr>
            </w:pPr>
            <w:r>
              <w:rPr>
                <w:rFonts w:ascii="Arial" w:cs="Arial" w:eastAsia="Arial" w:hAnsi="Arial"/>
                <w:sz w:val="20"/>
                <w:szCs w:val="20"/>
                <w:color w:val="auto"/>
              </w:rPr>
              <w:t>weighting)</w:t>
            </w:r>
          </w:p>
        </w:tc>
        <w:tc>
          <w:tcPr>
            <w:tcW w:w="280" w:type="dxa"/>
            <w:vAlign w:val="bottom"/>
          </w:tcPr>
          <w:p>
            <w:pPr>
              <w:ind w:left="4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2%</w:t>
            </w: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9% growth</w:t>
            </w:r>
          </w:p>
        </w:tc>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123054"/>
            </w:tcBorders>
            <w:gridSpan w:val="3"/>
          </w:tcPr>
          <w:p>
            <w:pPr>
              <w:ind w:left="80"/>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 11%</w:t>
            </w:r>
          </w:p>
        </w:tc>
        <w:tc>
          <w:tcPr>
            <w:tcW w:w="20" w:type="dxa"/>
            <w:vAlign w:val="bottom"/>
          </w:tcPr>
          <w:p>
            <w:pPr>
              <w:spacing w:after="0"/>
              <w:rPr>
                <w:sz w:val="22"/>
                <w:szCs w:val="22"/>
                <w:color w:val="auto"/>
              </w:rPr>
            </w:pPr>
          </w:p>
        </w:tc>
        <w:tc>
          <w:tcPr>
            <w:tcW w:w="240" w:type="dxa"/>
            <w:vAlign w:val="bottom"/>
            <w:vMerge w:val="restart"/>
          </w:tcPr>
          <w:p>
            <w:pPr>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b w:val="1"/>
                <w:bCs w:val="1"/>
                <w:color w:val="auto"/>
              </w:rPr>
              <w:t>2023</w:t>
            </w:r>
            <w:r>
              <w:rPr>
                <w:rFonts w:ascii="Arial" w:cs="Arial" w:eastAsia="Arial" w:hAnsi="Arial"/>
                <w:sz w:val="20"/>
                <w:szCs w:val="20"/>
                <w:color w:val="auto"/>
              </w:rPr>
              <w: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tcBorders>
              <w:right w:val="single" w:sz="8" w:color="123054"/>
            </w:tcBorders>
            <w:gridSpan w:val="2"/>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Borders>
              <w:right w:val="single" w:sz="8" w:color="123054"/>
            </w:tcBorders>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123054"/>
            </w:tcBorders>
            <w:gridSpan w:val="2"/>
          </w:tcPr>
          <w:p>
            <w:pPr>
              <w:spacing w:after="0" w:line="209" w:lineRule="exact"/>
              <w:rPr>
                <w:sz w:val="20"/>
                <w:szCs w:val="20"/>
                <w:color w:val="auto"/>
              </w:rPr>
            </w:pPr>
            <w:r>
              <w:rPr>
                <w:rFonts w:ascii="Arial" w:cs="Arial" w:eastAsia="Arial" w:hAnsi="Arial"/>
                <w:sz w:val="20"/>
                <w:szCs w:val="20"/>
                <w:color w:val="auto"/>
              </w:rPr>
              <w:t>growth in</w:t>
            </w:r>
          </w:p>
        </w:tc>
        <w:tc>
          <w:tcPr>
            <w:tcW w:w="260" w:type="dxa"/>
            <w:vAlign w:val="bottom"/>
          </w:tcPr>
          <w:p>
            <w:pPr>
              <w:spacing w:after="0"/>
              <w:rPr>
                <w:sz w:val="18"/>
                <w:szCs w:val="18"/>
                <w:color w:val="auto"/>
              </w:rPr>
            </w:pPr>
          </w:p>
        </w:tc>
        <w:tc>
          <w:tcPr>
            <w:tcW w:w="1560" w:type="dxa"/>
            <w:vAlign w:val="bottom"/>
            <w:tcBorders>
              <w:right w:val="single" w:sz="8" w:color="123054"/>
            </w:tcBorders>
            <w:gridSpan w:val="2"/>
          </w:tcPr>
          <w:p>
            <w:pPr>
              <w:spacing w:after="0" w:line="209" w:lineRule="exact"/>
              <w:rPr>
                <w:sz w:val="20"/>
                <w:szCs w:val="20"/>
                <w:color w:val="auto"/>
              </w:rPr>
            </w:pPr>
            <w:r>
              <w:rPr>
                <w:rFonts w:ascii="Arial" w:cs="Arial" w:eastAsia="Arial" w:hAnsi="Arial"/>
                <w:sz w:val="20"/>
                <w:szCs w:val="20"/>
                <w:color w:val="auto"/>
              </w:rPr>
              <w:t>in actual 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right w:val="single" w:sz="8" w:color="123054"/>
            </w:tcBorders>
            <w:gridSpan w:val="3"/>
          </w:tcPr>
          <w:p>
            <w:pPr>
              <w:ind w:left="80"/>
              <w:spacing w:after="0" w:line="209" w:lineRule="exact"/>
              <w:rPr>
                <w:sz w:val="20"/>
                <w:szCs w:val="20"/>
                <w:color w:val="auto"/>
              </w:rPr>
            </w:pPr>
            <w:r>
              <w:rPr>
                <w:rFonts w:ascii="Arial" w:cs="Arial" w:eastAsia="Arial" w:hAnsi="Arial"/>
                <w:sz w:val="20"/>
                <w:szCs w:val="20"/>
                <w:color w:val="auto"/>
              </w:rPr>
              <w:t>growth in actual</w:t>
            </w: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80" w:type="dxa"/>
            <w:vAlign w:val="bottom"/>
            <w:tcBorders>
              <w:right w:val="single" w:sz="8" w:color="123054"/>
            </w:tcBorders>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right w:val="single" w:sz="8" w:color="123054"/>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right w:val="single" w:sz="8" w:color="123054"/>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right w:val="single" w:sz="8" w:color="123054"/>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left w:val="single" w:sz="8" w:color="auto"/>
              <w:right w:val="single" w:sz="8" w:color="123054"/>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tcBorders>
              <w:right w:val="single" w:sz="8" w:color="123054"/>
            </w:tcBorders>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rPr>
              <w:t>actual 2022</w:t>
            </w:r>
          </w:p>
        </w:tc>
        <w:tc>
          <w:tcPr>
            <w:tcW w:w="260" w:type="dxa"/>
            <w:vAlign w:val="bottom"/>
          </w:tcPr>
          <w:p>
            <w:pPr>
              <w:spacing w:after="0"/>
              <w:rPr>
                <w:sz w:val="22"/>
                <w:szCs w:val="22"/>
                <w:color w:val="auto"/>
              </w:rPr>
            </w:pPr>
          </w:p>
        </w:tc>
        <w:tc>
          <w:tcPr>
            <w:tcW w:w="156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rPr>
              <w:t>adjusted EPS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Borders>
              <w:right w:val="single" w:sz="8" w:color="123054"/>
            </w:tcBorders>
            <w:gridSpan w:val="3"/>
          </w:tcPr>
          <w:p>
            <w:pPr>
              <w:ind w:left="80"/>
              <w:spacing w:after="0"/>
              <w:rPr>
                <w:sz w:val="20"/>
                <w:szCs w:val="20"/>
                <w:color w:val="auto"/>
              </w:rPr>
            </w:pPr>
            <w:r>
              <w:rPr>
                <w:rFonts w:ascii="Arial" w:cs="Arial" w:eastAsia="Arial" w:hAnsi="Arial"/>
                <w:sz w:val="20"/>
                <w:szCs w:val="20"/>
                <w:color w:val="auto"/>
              </w:rPr>
              <w:t>2022 adjusted</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rPr>
              <w:t>$6.19</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40" w:type="dxa"/>
            <w:vAlign w:val="bottom"/>
            <w:tcBorders>
              <w:right w:val="single" w:sz="8" w:color="123054"/>
            </w:tcBorders>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rPr>
              <w:t>adjusted EPS</w:t>
            </w:r>
          </w:p>
        </w:tc>
        <w:tc>
          <w:tcPr>
            <w:tcW w:w="2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9% growth</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Borders>
              <w:right w:val="single" w:sz="8" w:color="123054"/>
            </w:tcBorders>
            <w:gridSpan w:val="3"/>
          </w:tcPr>
          <w:p>
            <w:pPr>
              <w:ind w:left="80"/>
              <w:spacing w:after="0"/>
              <w:rPr>
                <w:sz w:val="20"/>
                <w:szCs w:val="20"/>
                <w:color w:val="auto"/>
              </w:rPr>
            </w:pPr>
            <w:r>
              <w:rPr>
                <w:rFonts w:ascii="Arial" w:cs="Arial" w:eastAsia="Arial" w:hAnsi="Arial"/>
                <w:sz w:val="20"/>
                <w:szCs w:val="20"/>
                <w:color w:val="auto"/>
              </w:rPr>
              <w:t>EPS</w:t>
            </w:r>
          </w:p>
        </w:tc>
        <w:tc>
          <w:tcPr>
            <w:tcW w:w="20" w:type="dxa"/>
            <w:vAlign w:val="bottom"/>
          </w:tcPr>
          <w:p>
            <w:pPr>
              <w:spacing w:after="0"/>
              <w:rPr>
                <w:sz w:val="22"/>
                <w:szCs w:val="22"/>
                <w:color w:val="auto"/>
              </w:rPr>
            </w:pPr>
          </w:p>
        </w:tc>
        <w:tc>
          <w:tcPr>
            <w:tcW w:w="240" w:type="dxa"/>
            <w:vAlign w:val="bottom"/>
            <w:vMerge w:val="restart"/>
          </w:tcPr>
          <w:p>
            <w:pPr>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40" w:type="dxa"/>
            <w:vAlign w:val="bottom"/>
            <w:tcBorders>
              <w:right w:val="single" w:sz="8" w:color="123054"/>
            </w:tcBorders>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2%</w:t>
            </w:r>
          </w:p>
        </w:tc>
        <w:tc>
          <w:tcPr>
            <w:tcW w:w="260" w:type="dxa"/>
            <w:vAlign w:val="bottom"/>
            <w:vMerge w:val="continue"/>
          </w:tcPr>
          <w:p>
            <w:pPr>
              <w:spacing w:after="0"/>
              <w:rPr>
                <w:sz w:val="15"/>
                <w:szCs w:val="15"/>
                <w:color w:val="auto"/>
              </w:rPr>
            </w:pPr>
          </w:p>
        </w:tc>
        <w:tc>
          <w:tcPr>
            <w:tcW w:w="1560" w:type="dxa"/>
            <w:vAlign w:val="bottom"/>
            <w:tcBorders>
              <w:right w:val="single" w:sz="8" w:color="123054"/>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right w:val="single" w:sz="8" w:color="123054"/>
            </w:tcBorders>
            <w:gridSpan w:val="3"/>
            <w:vMerge w:val="restart"/>
          </w:tcPr>
          <w:p>
            <w:pPr>
              <w:ind w:left="80"/>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0"/>
                <w:szCs w:val="20"/>
                <w:color w:val="auto"/>
              </w:rPr>
              <w:t>: 11%</w:t>
            </w:r>
          </w:p>
        </w:tc>
        <w:tc>
          <w:tcPr>
            <w:tcW w:w="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80" w:type="dxa"/>
            <w:vAlign w:val="bottom"/>
            <w:tcBorders>
              <w:right w:val="single" w:sz="8" w:color="123054"/>
            </w:tcBorders>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right w:val="single" w:sz="8" w:color="123054"/>
            </w:tcBorders>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left w:val="single" w:sz="8" w:color="auto"/>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right w:val="single" w:sz="8" w:color="123054"/>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Borders>
              <w:right w:val="single" w:sz="8" w:color="123054"/>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Borders>
              <w:right w:val="single" w:sz="8" w:color="123054"/>
            </w:tcBorders>
          </w:tcPr>
          <w:p>
            <w:pPr>
              <w:spacing w:after="0"/>
              <w:rPr>
                <w:sz w:val="19"/>
                <w:szCs w:val="19"/>
                <w:color w:val="auto"/>
              </w:rPr>
            </w:pPr>
          </w:p>
        </w:tc>
        <w:tc>
          <w:tcPr>
            <w:tcW w:w="280" w:type="dxa"/>
            <w:vAlign w:val="bottom"/>
          </w:tcPr>
          <w:p>
            <w:pPr>
              <w:ind w:left="4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right w:val="single" w:sz="8" w:color="123054"/>
            </w:tcBorders>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Borders>
              <w:right w:val="single" w:sz="8" w:color="123054"/>
            </w:tcBorders>
            <w:gridSpan w:val="2"/>
          </w:tcPr>
          <w:p>
            <w:pPr>
              <w:spacing w:after="0" w:line="223" w:lineRule="exact"/>
              <w:rPr>
                <w:sz w:val="20"/>
                <w:szCs w:val="20"/>
                <w:color w:val="auto"/>
              </w:rPr>
            </w:pPr>
            <w:r>
              <w:rPr>
                <w:rFonts w:ascii="Arial" w:cs="Arial" w:eastAsia="Arial" w:hAnsi="Arial"/>
                <w:sz w:val="20"/>
                <w:szCs w:val="20"/>
                <w:color w:val="auto"/>
              </w:rPr>
              <w:t>in actual 2023</w:t>
            </w:r>
          </w:p>
        </w:tc>
        <w:tc>
          <w:tcPr>
            <w:tcW w:w="20" w:type="dxa"/>
            <w:vAlign w:val="bottom"/>
          </w:tcPr>
          <w:p>
            <w:pPr>
              <w:spacing w:after="0"/>
              <w:rPr>
                <w:sz w:val="19"/>
                <w:szCs w:val="19"/>
                <w:color w:val="auto"/>
              </w:rPr>
            </w:pPr>
          </w:p>
        </w:tc>
        <w:tc>
          <w:tcPr>
            <w:tcW w:w="160" w:type="dxa"/>
            <w:vAlign w:val="bottom"/>
          </w:tcPr>
          <w:p>
            <w:pPr>
              <w:spacing w:after="0" w:line="223"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123054"/>
            </w:tcBorders>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right w:val="single" w:sz="8" w:color="123054"/>
            </w:tcBorders>
            <w:gridSpan w:val="2"/>
          </w:tcPr>
          <w:p>
            <w:pPr>
              <w:spacing w:after="0" w:line="223" w:lineRule="exact"/>
              <w:rPr>
                <w:sz w:val="20"/>
                <w:szCs w:val="20"/>
                <w:color w:val="auto"/>
              </w:rPr>
            </w:pPr>
            <w:r>
              <w:rPr>
                <w:rFonts w:ascii="Arial" w:cs="Arial" w:eastAsia="Arial" w:hAnsi="Arial"/>
                <w:sz w:val="20"/>
                <w:szCs w:val="20"/>
                <w:color w:val="auto"/>
              </w:rPr>
              <w:t>$5.81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12305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12305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right w:val="single" w:sz="8" w:color="123054"/>
            </w:tcBorders>
            <w:gridSpan w:val="2"/>
            <w:vMerge w:val="restart"/>
          </w:tcPr>
          <w:p>
            <w:pPr>
              <w:spacing w:after="0"/>
              <w:rPr>
                <w:sz w:val="20"/>
                <w:szCs w:val="20"/>
                <w:color w:val="auto"/>
              </w:rPr>
            </w:pPr>
            <w:r>
              <w:rPr>
                <w:rFonts w:ascii="Arial" w:cs="Arial" w:eastAsia="Arial" w:hAnsi="Arial"/>
                <w:sz w:val="20"/>
                <w:szCs w:val="20"/>
                <w:color w:val="auto"/>
              </w:rPr>
              <w:t>adjusted EPS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right w:val="single" w:sz="8" w:color="123054"/>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Borders>
              <w:right w:val="single" w:sz="8" w:color="123054"/>
            </w:tcBorders>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w w:val="98"/>
              </w:rPr>
              <w:t>growth in actual</w:t>
            </w:r>
          </w:p>
        </w:tc>
        <w:tc>
          <w:tcPr>
            <w:tcW w:w="260" w:type="dxa"/>
            <w:vAlign w:val="bottom"/>
          </w:tcPr>
          <w:p>
            <w:pPr>
              <w:spacing w:after="0"/>
              <w:rPr>
                <w:sz w:val="21"/>
                <w:szCs w:val="21"/>
                <w:color w:val="auto"/>
              </w:rPr>
            </w:pPr>
          </w:p>
        </w:tc>
        <w:tc>
          <w:tcPr>
            <w:tcW w:w="1560" w:type="dxa"/>
            <w:vAlign w:val="bottom"/>
            <w:tcBorders>
              <w:right w:val="single" w:sz="8" w:color="123054"/>
            </w:tcBorders>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Borders>
              <w:right w:val="single" w:sz="8" w:color="123054"/>
            </w:tcBorders>
            <w:gridSpan w:val="3"/>
          </w:tcPr>
          <w:p>
            <w:pPr>
              <w:ind w:left="80"/>
              <w:spacing w:after="0"/>
              <w:rPr>
                <w:sz w:val="20"/>
                <w:szCs w:val="20"/>
                <w:color w:val="auto"/>
              </w:rPr>
            </w:pPr>
            <w:r>
              <w:rPr>
                <w:rFonts w:ascii="Arial" w:cs="Arial" w:eastAsia="Arial" w:hAnsi="Arial"/>
                <w:sz w:val="20"/>
                <w:szCs w:val="20"/>
                <w:color w:val="auto"/>
              </w:rPr>
              <w:t>growth in actual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Borders>
              <w:right w:val="single" w:sz="8" w:color="123054"/>
            </w:tcBorders>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Borders>
              <w:right w:val="single" w:sz="8" w:color="123054"/>
            </w:tcBorders>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Borders>
              <w:right w:val="single" w:sz="8" w:color="123054"/>
            </w:tcBorders>
            <w:gridSpan w:val="2"/>
          </w:tcPr>
          <w:p>
            <w:pPr>
              <w:spacing w:after="0"/>
              <w:rPr>
                <w:sz w:val="20"/>
                <w:szCs w:val="20"/>
                <w:color w:val="auto"/>
              </w:rPr>
            </w:pPr>
            <w:r>
              <w:rPr>
                <w:rFonts w:ascii="Arial" w:cs="Arial" w:eastAsia="Arial" w:hAnsi="Arial"/>
                <w:sz w:val="20"/>
                <w:szCs w:val="20"/>
                <w:color w:val="auto"/>
              </w:rPr>
              <w:t>2023 adjusted</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Borders>
              <w:right w:val="single" w:sz="8" w:color="123054"/>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Borders>
              <w:right w:val="single" w:sz="8" w:color="123054"/>
            </w:tcBorders>
            <w:gridSpan w:val="3"/>
          </w:tcPr>
          <w:p>
            <w:pPr>
              <w:ind w:left="80"/>
              <w:spacing w:after="0"/>
              <w:rPr>
                <w:sz w:val="20"/>
                <w:szCs w:val="20"/>
                <w:color w:val="auto"/>
              </w:rPr>
            </w:pPr>
            <w:r>
              <w:rPr>
                <w:rFonts w:ascii="Arial" w:cs="Arial" w:eastAsia="Arial" w:hAnsi="Arial"/>
                <w:sz w:val="20"/>
                <w:szCs w:val="20"/>
                <w:color w:val="auto"/>
              </w:rPr>
              <w:t>2023 adjusted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Borders>
              <w:right w:val="single" w:sz="8" w:color="123054"/>
            </w:tcBorders>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40" w:type="dxa"/>
            <w:vAlign w:val="bottom"/>
            <w:tcBorders>
              <w:bottom w:val="single" w:sz="8" w:color="123054"/>
              <w:right w:val="single" w:sz="8" w:color="123054"/>
            </w:tcBorders>
          </w:tcPr>
          <w:p>
            <w:pPr>
              <w:spacing w:after="0"/>
              <w:rPr>
                <w:sz w:val="22"/>
                <w:szCs w:val="22"/>
                <w:color w:val="auto"/>
              </w:rPr>
            </w:pPr>
          </w:p>
        </w:tc>
        <w:tc>
          <w:tcPr>
            <w:tcW w:w="280" w:type="dxa"/>
            <w:vAlign w:val="bottom"/>
            <w:tcBorders>
              <w:bottom w:val="single" w:sz="8" w:color="123054"/>
            </w:tcBorders>
          </w:tcPr>
          <w:p>
            <w:pPr>
              <w:spacing w:after="0"/>
              <w:rPr>
                <w:sz w:val="22"/>
                <w:szCs w:val="22"/>
                <w:color w:val="auto"/>
              </w:rPr>
            </w:pPr>
          </w:p>
        </w:tc>
        <w:tc>
          <w:tcPr>
            <w:tcW w:w="1420" w:type="dxa"/>
            <w:vAlign w:val="bottom"/>
            <w:tcBorders>
              <w:bottom w:val="single" w:sz="8" w:color="123054"/>
              <w:right w:val="single" w:sz="8" w:color="123054"/>
            </w:tcBorders>
            <w:gridSpan w:val="2"/>
          </w:tcPr>
          <w:p>
            <w:pPr>
              <w:spacing w:after="0"/>
              <w:rPr>
                <w:sz w:val="20"/>
                <w:szCs w:val="20"/>
                <w:color w:val="auto"/>
              </w:rPr>
            </w:pPr>
            <w:r>
              <w:rPr>
                <w:rFonts w:ascii="Arial" w:cs="Arial" w:eastAsia="Arial" w:hAnsi="Arial"/>
                <w:sz w:val="20"/>
                <w:szCs w:val="20"/>
                <w:color w:val="auto"/>
              </w:rPr>
              <w:t>EPS</w:t>
            </w:r>
          </w:p>
        </w:tc>
        <w:tc>
          <w:tcPr>
            <w:tcW w:w="260" w:type="dxa"/>
            <w:vAlign w:val="bottom"/>
            <w:tcBorders>
              <w:bottom w:val="single" w:sz="8" w:color="123054"/>
            </w:tcBorders>
          </w:tcPr>
          <w:p>
            <w:pPr>
              <w:spacing w:after="0"/>
              <w:rPr>
                <w:sz w:val="22"/>
                <w:szCs w:val="22"/>
                <w:color w:val="auto"/>
              </w:rPr>
            </w:pPr>
          </w:p>
        </w:tc>
        <w:tc>
          <w:tcPr>
            <w:tcW w:w="440" w:type="dxa"/>
            <w:vAlign w:val="bottom"/>
            <w:tcBorders>
              <w:bottom w:val="single" w:sz="8" w:color="123054"/>
            </w:tcBorders>
          </w:tcPr>
          <w:p>
            <w:pPr>
              <w:spacing w:after="0"/>
              <w:rPr>
                <w:sz w:val="22"/>
                <w:szCs w:val="22"/>
                <w:color w:val="auto"/>
              </w:rPr>
            </w:pPr>
          </w:p>
        </w:tc>
        <w:tc>
          <w:tcPr>
            <w:tcW w:w="1120" w:type="dxa"/>
            <w:vAlign w:val="bottom"/>
            <w:tcBorders>
              <w:bottom w:val="single" w:sz="8" w:color="123054"/>
              <w:right w:val="single" w:sz="8" w:color="123054"/>
            </w:tcBorders>
          </w:tcPr>
          <w:p>
            <w:pPr>
              <w:spacing w:after="0"/>
              <w:rPr>
                <w:sz w:val="22"/>
                <w:szCs w:val="22"/>
                <w:color w:val="auto"/>
              </w:rPr>
            </w:pPr>
          </w:p>
        </w:tc>
        <w:tc>
          <w:tcPr>
            <w:tcW w:w="20" w:type="dxa"/>
            <w:vAlign w:val="bottom"/>
            <w:tcBorders>
              <w:bottom w:val="single" w:sz="8" w:color="123054"/>
            </w:tcBorders>
          </w:tcPr>
          <w:p>
            <w:pPr>
              <w:spacing w:after="0"/>
              <w:rPr>
                <w:sz w:val="22"/>
                <w:szCs w:val="22"/>
                <w:color w:val="auto"/>
              </w:rPr>
            </w:pPr>
          </w:p>
        </w:tc>
        <w:tc>
          <w:tcPr>
            <w:tcW w:w="160" w:type="dxa"/>
            <w:vAlign w:val="bottom"/>
            <w:tcBorders>
              <w:bottom w:val="single" w:sz="8" w:color="123054"/>
            </w:tcBorders>
          </w:tcPr>
          <w:p>
            <w:pPr>
              <w:spacing w:after="0"/>
              <w:rPr>
                <w:sz w:val="22"/>
                <w:szCs w:val="22"/>
                <w:color w:val="auto"/>
              </w:rPr>
            </w:pPr>
          </w:p>
        </w:tc>
        <w:tc>
          <w:tcPr>
            <w:tcW w:w="1640" w:type="dxa"/>
            <w:vAlign w:val="bottom"/>
            <w:tcBorders>
              <w:bottom w:val="single" w:sz="8" w:color="123054"/>
              <w:right w:val="single" w:sz="8" w:color="123054"/>
            </w:tcBorders>
            <w:gridSpan w:val="3"/>
          </w:tcPr>
          <w:p>
            <w:pPr>
              <w:ind w:left="80"/>
              <w:spacing w:after="0"/>
              <w:rPr>
                <w:sz w:val="20"/>
                <w:szCs w:val="20"/>
                <w:color w:val="auto"/>
              </w:rPr>
            </w:pPr>
            <w:r>
              <w:rPr>
                <w:rFonts w:ascii="Arial" w:cs="Arial" w:eastAsia="Arial" w:hAnsi="Arial"/>
                <w:sz w:val="20"/>
                <w:szCs w:val="20"/>
                <w:color w:val="auto"/>
              </w:rPr>
              <w:t>EPS</w:t>
            </w:r>
          </w:p>
        </w:tc>
        <w:tc>
          <w:tcPr>
            <w:tcW w:w="20" w:type="dxa"/>
            <w:vAlign w:val="bottom"/>
            <w:tcBorders>
              <w:bottom w:val="single" w:sz="8" w:color="123054"/>
            </w:tcBorders>
          </w:tcPr>
          <w:p>
            <w:pPr>
              <w:spacing w:after="0"/>
              <w:rPr>
                <w:sz w:val="22"/>
                <w:szCs w:val="22"/>
                <w:color w:val="auto"/>
              </w:rPr>
            </w:pPr>
          </w:p>
        </w:tc>
        <w:tc>
          <w:tcPr>
            <w:tcW w:w="240" w:type="dxa"/>
            <w:vAlign w:val="bottom"/>
            <w:tcBorders>
              <w:bottom w:val="single" w:sz="8" w:color="123054"/>
            </w:tcBorders>
          </w:tcPr>
          <w:p>
            <w:pPr>
              <w:spacing w:after="0"/>
              <w:rPr>
                <w:sz w:val="22"/>
                <w:szCs w:val="22"/>
                <w:color w:val="auto"/>
              </w:rPr>
            </w:pPr>
          </w:p>
        </w:tc>
        <w:tc>
          <w:tcPr>
            <w:tcW w:w="440" w:type="dxa"/>
            <w:vAlign w:val="bottom"/>
            <w:tcBorders>
              <w:bottom w:val="single" w:sz="8" w:color="123054"/>
            </w:tcBorders>
          </w:tcPr>
          <w:p>
            <w:pPr>
              <w:spacing w:after="0"/>
              <w:rPr>
                <w:sz w:val="22"/>
                <w:szCs w:val="22"/>
                <w:color w:val="auto"/>
              </w:rPr>
            </w:pPr>
          </w:p>
        </w:tc>
        <w:tc>
          <w:tcPr>
            <w:tcW w:w="540" w:type="dxa"/>
            <w:vAlign w:val="bottom"/>
            <w:tcBorders>
              <w:bottom w:val="single" w:sz="8" w:color="123054"/>
              <w:right w:val="single" w:sz="8" w:color="123054"/>
            </w:tcBorders>
          </w:tcPr>
          <w:p>
            <w:pPr>
              <w:spacing w:after="0"/>
              <w:rPr>
                <w:sz w:val="22"/>
                <w:szCs w:val="22"/>
                <w:color w:val="auto"/>
              </w:rPr>
            </w:pPr>
          </w:p>
        </w:tc>
        <w:tc>
          <w:tcPr>
            <w:tcW w:w="940" w:type="dxa"/>
            <w:vAlign w:val="bottom"/>
            <w:tcBorders>
              <w:bottom w:val="single" w:sz="8" w:color="123054"/>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240" w:type="dxa"/>
            <w:vAlign w:val="bottom"/>
            <w:tcBorders>
              <w:right w:val="single" w:sz="8" w:color="E4E4E4"/>
            </w:tcBorders>
            <w:shd w:val="clear" w:color="auto" w:fill="E4E4E4"/>
          </w:tcPr>
          <w:p>
            <w:pPr>
              <w:ind w:left="140"/>
              <w:spacing w:after="0" w:line="201" w:lineRule="exact"/>
              <w:rPr>
                <w:sz w:val="20"/>
                <w:szCs w:val="20"/>
                <w:color w:val="auto"/>
              </w:rPr>
            </w:pPr>
            <w:r>
              <w:rPr>
                <w:rFonts w:ascii="Arial" w:cs="Arial" w:eastAsia="Arial" w:hAnsi="Arial"/>
                <w:sz w:val="20"/>
                <w:szCs w:val="20"/>
                <w:b w:val="1"/>
                <w:bCs w:val="1"/>
                <w:color w:val="auto"/>
              </w:rPr>
              <w:t>Total</w:t>
            </w:r>
          </w:p>
        </w:tc>
        <w:tc>
          <w:tcPr>
            <w:tcW w:w="28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980" w:type="dxa"/>
            <w:vAlign w:val="bottom"/>
            <w:tcBorders>
              <w:right w:val="single" w:sz="8" w:color="E4E4E4"/>
            </w:tcBorders>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1120" w:type="dxa"/>
            <w:vAlign w:val="bottom"/>
            <w:tcBorders>
              <w:left w:val="single" w:sz="8" w:color="E4E4E4"/>
              <w:right w:val="single" w:sz="8" w:color="E4E4E4"/>
            </w:tcBorders>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1120" w:type="dxa"/>
            <w:vAlign w:val="bottom"/>
            <w:tcBorders>
              <w:right w:val="single" w:sz="8" w:color="E4E4E4"/>
            </w:tcBorders>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540" w:type="dxa"/>
            <w:vAlign w:val="bottom"/>
            <w:tcBorders>
              <w:left w:val="single" w:sz="8" w:color="E4E4E4"/>
              <w:right w:val="single" w:sz="8" w:color="E4E4E4"/>
            </w:tcBorders>
            <w:shd w:val="clear" w:color="auto" w:fill="E4E4E4"/>
          </w:tcPr>
          <w:p>
            <w:pPr>
              <w:spacing w:after="0"/>
              <w:rPr>
                <w:sz w:val="17"/>
                <w:szCs w:val="17"/>
                <w:color w:val="auto"/>
              </w:rPr>
            </w:pPr>
          </w:p>
        </w:tc>
        <w:tc>
          <w:tcPr>
            <w:tcW w:w="940" w:type="dxa"/>
            <w:vAlign w:val="bottom"/>
            <w:shd w:val="clear" w:color="auto" w:fill="E4E4E4"/>
          </w:tcPr>
          <w:p>
            <w:pPr>
              <w:jc w:val="right"/>
              <w:ind w:right="301"/>
              <w:spacing w:after="0" w:line="201" w:lineRule="exact"/>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67"/>
        </w:trPr>
        <w:tc>
          <w:tcPr>
            <w:tcW w:w="1240" w:type="dxa"/>
            <w:vAlign w:val="bottom"/>
            <w:tcBorders>
              <w:right w:val="single" w:sz="8" w:color="E4E4E4"/>
            </w:tcBorders>
            <w:shd w:val="clear" w:color="auto" w:fill="E4E4E4"/>
          </w:tcPr>
          <w:p>
            <w:pPr>
              <w:ind w:left="140"/>
              <w:spacing w:after="0"/>
              <w:rPr>
                <w:sz w:val="20"/>
                <w:szCs w:val="20"/>
                <w:color w:val="auto"/>
              </w:rPr>
            </w:pPr>
            <w:r>
              <w:rPr>
                <w:rFonts w:ascii="Arial" w:cs="Arial" w:eastAsia="Arial" w:hAnsi="Arial"/>
                <w:sz w:val="20"/>
                <w:szCs w:val="20"/>
                <w:b w:val="1"/>
                <w:bCs w:val="1"/>
                <w:color w:val="auto"/>
              </w:rPr>
              <w:t>Attainment</w:t>
            </w:r>
          </w:p>
        </w:tc>
        <w:tc>
          <w:tcPr>
            <w:tcW w:w="280" w:type="dxa"/>
            <w:vAlign w:val="bottom"/>
            <w:shd w:val="clear" w:color="auto" w:fill="E4E4E4"/>
          </w:tcPr>
          <w:p>
            <w:pPr>
              <w:spacing w:after="0"/>
              <w:rPr>
                <w:sz w:val="23"/>
                <w:szCs w:val="23"/>
                <w:color w:val="auto"/>
              </w:rPr>
            </w:pPr>
          </w:p>
        </w:tc>
        <w:tc>
          <w:tcPr>
            <w:tcW w:w="440" w:type="dxa"/>
            <w:vAlign w:val="bottom"/>
            <w:shd w:val="clear" w:color="auto" w:fill="E4E4E4"/>
          </w:tcPr>
          <w:p>
            <w:pPr>
              <w:spacing w:after="0"/>
              <w:rPr>
                <w:sz w:val="23"/>
                <w:szCs w:val="23"/>
                <w:color w:val="auto"/>
              </w:rPr>
            </w:pPr>
          </w:p>
        </w:tc>
        <w:tc>
          <w:tcPr>
            <w:tcW w:w="980" w:type="dxa"/>
            <w:vAlign w:val="bottom"/>
            <w:tcBorders>
              <w:right w:val="single" w:sz="8" w:color="E4E4E4"/>
            </w:tcBorders>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440" w:type="dxa"/>
            <w:vAlign w:val="bottom"/>
            <w:shd w:val="clear" w:color="auto" w:fill="E4E4E4"/>
          </w:tcPr>
          <w:p>
            <w:pPr>
              <w:spacing w:after="0"/>
              <w:rPr>
                <w:sz w:val="23"/>
                <w:szCs w:val="23"/>
                <w:color w:val="auto"/>
              </w:rPr>
            </w:pPr>
          </w:p>
        </w:tc>
        <w:tc>
          <w:tcPr>
            <w:tcW w:w="1120" w:type="dxa"/>
            <w:vAlign w:val="bottom"/>
            <w:tcBorders>
              <w:left w:val="single" w:sz="8" w:color="E4E4E4"/>
              <w:right w:val="single" w:sz="8" w:color="E4E4E4"/>
            </w:tcBorders>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160" w:type="dxa"/>
            <w:vAlign w:val="bottom"/>
            <w:shd w:val="clear" w:color="auto" w:fill="E4E4E4"/>
          </w:tcPr>
          <w:p>
            <w:pPr>
              <w:spacing w:after="0"/>
              <w:rPr>
                <w:sz w:val="23"/>
                <w:szCs w:val="23"/>
                <w:color w:val="auto"/>
              </w:rPr>
            </w:pPr>
          </w:p>
        </w:tc>
        <w:tc>
          <w:tcPr>
            <w:tcW w:w="80" w:type="dxa"/>
            <w:vAlign w:val="bottom"/>
            <w:shd w:val="clear" w:color="auto" w:fill="E4E4E4"/>
          </w:tcPr>
          <w:p>
            <w:pPr>
              <w:spacing w:after="0"/>
              <w:rPr>
                <w:sz w:val="23"/>
                <w:szCs w:val="23"/>
                <w:color w:val="auto"/>
              </w:rPr>
            </w:pPr>
          </w:p>
        </w:tc>
        <w:tc>
          <w:tcPr>
            <w:tcW w:w="440" w:type="dxa"/>
            <w:vAlign w:val="bottom"/>
            <w:shd w:val="clear" w:color="auto" w:fill="E4E4E4"/>
          </w:tcPr>
          <w:p>
            <w:pPr>
              <w:spacing w:after="0"/>
              <w:rPr>
                <w:sz w:val="23"/>
                <w:szCs w:val="23"/>
                <w:color w:val="auto"/>
              </w:rPr>
            </w:pPr>
          </w:p>
        </w:tc>
        <w:tc>
          <w:tcPr>
            <w:tcW w:w="1120" w:type="dxa"/>
            <w:vAlign w:val="bottom"/>
            <w:tcBorders>
              <w:right w:val="single" w:sz="8" w:color="E4E4E4"/>
            </w:tcBorders>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240" w:type="dxa"/>
            <w:vAlign w:val="bottom"/>
            <w:shd w:val="clear" w:color="auto" w:fill="E4E4E4"/>
          </w:tcPr>
          <w:p>
            <w:pPr>
              <w:spacing w:after="0"/>
              <w:rPr>
                <w:sz w:val="23"/>
                <w:szCs w:val="23"/>
                <w:color w:val="auto"/>
              </w:rPr>
            </w:pPr>
          </w:p>
        </w:tc>
        <w:tc>
          <w:tcPr>
            <w:tcW w:w="440" w:type="dxa"/>
            <w:vAlign w:val="bottom"/>
            <w:shd w:val="clear" w:color="auto" w:fill="E4E4E4"/>
          </w:tcPr>
          <w:p>
            <w:pPr>
              <w:spacing w:after="0"/>
              <w:rPr>
                <w:sz w:val="23"/>
                <w:szCs w:val="23"/>
                <w:color w:val="auto"/>
              </w:rPr>
            </w:pPr>
          </w:p>
        </w:tc>
        <w:tc>
          <w:tcPr>
            <w:tcW w:w="540" w:type="dxa"/>
            <w:vAlign w:val="bottom"/>
            <w:tcBorders>
              <w:left w:val="single" w:sz="8" w:color="E4E4E4"/>
              <w:right w:val="single" w:sz="8" w:color="E4E4E4"/>
            </w:tcBorders>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440" w:top="1440" w:right="1019" w:bottom="0" w:gutter="0" w:footer="0" w:header="0"/>
          <w:type w:val="continuous"/>
        </w:sectPr>
      </w:pPr>
    </w:p>
    <w:bookmarkStart w:id="43" w:name="page44"/>
    <w:bookmarkEnd w:id="43"/>
    <w:p>
      <w:pPr>
        <w:ind w:left="140"/>
        <w:spacing w:after="0"/>
        <w:rPr>
          <w:sz w:val="20"/>
          <w:szCs w:val="20"/>
          <w:color w:val="auto"/>
        </w:rPr>
      </w:pPr>
      <w:r>
        <w:rPr>
          <w:rFonts w:ascii="Arial" w:cs="Arial" w:eastAsia="Arial" w:hAnsi="Arial"/>
          <w:sz w:val="22"/>
          <w:szCs w:val="22"/>
          <w:b w:val="1"/>
          <w:bCs w:val="1"/>
          <w:i w:val="1"/>
          <w:iCs w:val="1"/>
          <w:color w:val="123054"/>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05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3105150"/>
                    </a:xfrm>
                    <a:prstGeom prst="rect">
                      <a:avLst/>
                    </a:prstGeom>
                    <a:noFill/>
                  </pic:spPr>
                </pic:pic>
              </a:graphicData>
            </a:graphic>
          </wp:anchor>
        </w:drawing>
        <w:t>TIME-BASED RESTRICTED STOCK</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All of the time-based restricted stock awards granted to our NEOs in fiscal2024:</w:t>
      </w:r>
    </w:p>
    <w:p>
      <w:pPr>
        <w:spacing w:after="0" w:line="81" w:lineRule="exact"/>
        <w:rPr>
          <w:sz w:val="20"/>
          <w:szCs w:val="20"/>
          <w:color w:val="auto"/>
        </w:rPr>
      </w:pPr>
    </w:p>
    <w:p>
      <w:pPr>
        <w:ind w:left="420" w:hanging="187"/>
        <w:spacing w:after="0"/>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are subject to the equity retention policy described below;</w:t>
      </w:r>
    </w:p>
    <w:p>
      <w:pPr>
        <w:spacing w:after="0" w:line="67" w:lineRule="exact"/>
        <w:rPr>
          <w:rFonts w:ascii="Arial" w:cs="Arial" w:eastAsia="Arial" w:hAnsi="Arial"/>
          <w:sz w:val="20"/>
          <w:szCs w:val="20"/>
          <w:color w:val="auto"/>
        </w:rPr>
      </w:pPr>
    </w:p>
    <w:p>
      <w:pPr>
        <w:ind w:left="420" w:hanging="187"/>
        <w:spacing w:after="0"/>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are contingent on the NEO’s continued employment with Carter's through each vesting date; and</w:t>
      </w:r>
    </w:p>
    <w:p>
      <w:pPr>
        <w:spacing w:after="0" w:line="80" w:lineRule="exact"/>
        <w:rPr>
          <w:rFonts w:ascii="Arial" w:cs="Arial" w:eastAsia="Arial" w:hAnsi="Arial"/>
          <w:sz w:val="20"/>
          <w:szCs w:val="20"/>
          <w:color w:val="auto"/>
        </w:rPr>
      </w:pPr>
    </w:p>
    <w:p>
      <w:pPr>
        <w:ind w:left="420" w:hanging="187"/>
        <w:spacing w:after="0"/>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vest in four equal annual installments on the first through fourth anniversaries of each grant date.</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STOCK OWNERSHIP GUIDELINES AND EQUITY RETENTION POLICY</w:t>
      </w:r>
    </w:p>
    <w:p>
      <w:pPr>
        <w:spacing w:after="0" w:line="159"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The Committee regularly reviews the equity ownership of our NEOs compared to our minimum ownership guidelines. Under our minimum ownership guidelines, no NEO may sell shares of Carter’s stock (other than to cover the tax obligations resulting from the vesting of Carter’s restricted stock (both time and performance-based) or from exercising vested stock options) until they own shares of Carter’s stock with a total market value in excess of a specified multiple of his or her base salary and continue to maintain such level of ownership after such sale. For fiscal2024 (similar to the multiples for2023), the ownership multiples for our NEOs were as follows:</w:t>
      </w:r>
    </w:p>
    <w:p>
      <w:pPr>
        <w:spacing w:after="0" w:line="24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73285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732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6720" w:type="dxa"/>
            <w:vAlign w:val="bottom"/>
            <w:tcBorders>
              <w:right w:val="single" w:sz="8" w:color="123054"/>
            </w:tcBorders>
          </w:tcPr>
          <w:p>
            <w:pPr>
              <w:spacing w:after="0"/>
              <w:rPr>
                <w:sz w:val="23"/>
                <w:szCs w:val="23"/>
                <w:color w:val="auto"/>
              </w:rPr>
            </w:pPr>
          </w:p>
        </w:tc>
        <w:tc>
          <w:tcPr>
            <w:tcW w:w="1220" w:type="dxa"/>
            <w:vAlign w:val="bottom"/>
            <w:shd w:val="clear" w:color="auto" w:fill="123054"/>
          </w:tcPr>
          <w:p>
            <w:pPr>
              <w:jc w:val="center"/>
              <w:spacing w:after="0"/>
              <w:rPr>
                <w:sz w:val="20"/>
                <w:szCs w:val="20"/>
                <w:color w:val="auto"/>
              </w:rPr>
            </w:pPr>
            <w:r>
              <w:rPr>
                <w:rFonts w:ascii="Arial" w:cs="Arial" w:eastAsia="Arial" w:hAnsi="Arial"/>
                <w:sz w:val="20"/>
                <w:szCs w:val="20"/>
                <w:b w:val="1"/>
                <w:bCs w:val="1"/>
                <w:color w:val="FBFBFB"/>
                <w:w w:val="99"/>
              </w:rPr>
              <w:t>Multiple of</w:t>
            </w:r>
          </w:p>
        </w:tc>
        <w:tc>
          <w:tcPr>
            <w:tcW w:w="20" w:type="dxa"/>
            <w:vAlign w:val="bottom"/>
          </w:tcPr>
          <w:p>
            <w:pPr>
              <w:spacing w:after="0"/>
              <w:rPr>
                <w:sz w:val="23"/>
                <w:szCs w:val="23"/>
                <w:color w:val="auto"/>
              </w:rPr>
            </w:pPr>
          </w:p>
        </w:tc>
      </w:tr>
      <w:tr>
        <w:trPr>
          <w:trHeight w:val="267"/>
        </w:trPr>
        <w:tc>
          <w:tcPr>
            <w:tcW w:w="6720" w:type="dxa"/>
            <w:vAlign w:val="bottom"/>
            <w:tcBorders>
              <w:bottom w:val="single" w:sz="8" w:color="123054"/>
              <w:right w:val="single" w:sz="8" w:color="123054"/>
            </w:tcBorders>
          </w:tcPr>
          <w:p>
            <w:pPr>
              <w:spacing w:after="0"/>
              <w:rPr>
                <w:sz w:val="23"/>
                <w:szCs w:val="23"/>
                <w:color w:val="auto"/>
              </w:rPr>
            </w:pPr>
          </w:p>
        </w:tc>
        <w:tc>
          <w:tcPr>
            <w:tcW w:w="1220" w:type="dxa"/>
            <w:vAlign w:val="bottom"/>
            <w:tcBorders>
              <w:bottom w:val="single" w:sz="8" w:color="123054"/>
            </w:tcBorders>
            <w:shd w:val="clear" w:color="auto" w:fill="123054"/>
          </w:tcPr>
          <w:p>
            <w:pPr>
              <w:ind w:left="100"/>
              <w:spacing w:after="0"/>
              <w:rPr>
                <w:sz w:val="20"/>
                <w:szCs w:val="20"/>
                <w:color w:val="auto"/>
              </w:rPr>
            </w:pPr>
            <w:r>
              <w:rPr>
                <w:rFonts w:ascii="Arial" w:cs="Arial" w:eastAsia="Arial" w:hAnsi="Arial"/>
                <w:sz w:val="20"/>
                <w:szCs w:val="20"/>
                <w:b w:val="1"/>
                <w:bCs w:val="1"/>
                <w:color w:val="FBFBFB"/>
                <w:w w:val="96"/>
              </w:rPr>
              <w:t>Base Salary</w:t>
            </w:r>
          </w:p>
        </w:tc>
        <w:tc>
          <w:tcPr>
            <w:tcW w:w="20" w:type="dxa"/>
            <w:vAlign w:val="bottom"/>
            <w:tcBorders>
              <w:bottom w:val="single" w:sz="8" w:color="123054"/>
            </w:tcBorders>
          </w:tcPr>
          <w:p>
            <w:pPr>
              <w:spacing w:after="0"/>
              <w:rPr>
                <w:sz w:val="23"/>
                <w:szCs w:val="23"/>
                <w:color w:val="auto"/>
              </w:rPr>
            </w:pPr>
          </w:p>
        </w:tc>
      </w:tr>
      <w:tr>
        <w:trPr>
          <w:trHeight w:val="262"/>
        </w:trPr>
        <w:tc>
          <w:tcPr>
            <w:tcW w:w="6720" w:type="dxa"/>
            <w:vAlign w:val="bottom"/>
            <w:tcBorders>
              <w:left w:val="single" w:sz="8" w:color="123054"/>
              <w:right w:val="single" w:sz="8" w:color="123054"/>
            </w:tcBorders>
          </w:tcPr>
          <w:p>
            <w:pPr>
              <w:ind w:left="140"/>
              <w:spacing w:after="0"/>
              <w:rPr>
                <w:sz w:val="20"/>
                <w:szCs w:val="20"/>
                <w:color w:val="auto"/>
              </w:rPr>
            </w:pPr>
            <w:r>
              <w:rPr>
                <w:rFonts w:ascii="Arial" w:cs="Arial" w:eastAsia="Arial" w:hAnsi="Arial"/>
                <w:sz w:val="20"/>
                <w:szCs w:val="20"/>
                <w:color w:val="auto"/>
              </w:rPr>
              <w:t>Chief Executive Officer &amp; President</w:t>
            </w:r>
          </w:p>
        </w:tc>
        <w:tc>
          <w:tcPr>
            <w:tcW w:w="1220" w:type="dxa"/>
            <w:vAlign w:val="bottom"/>
          </w:tcPr>
          <w:p>
            <w:pPr>
              <w:jc w:val="center"/>
              <w:spacing w:after="0"/>
              <w:rPr>
                <w:sz w:val="20"/>
                <w:szCs w:val="20"/>
                <w:color w:val="auto"/>
              </w:rPr>
            </w:pPr>
            <w:r>
              <w:rPr>
                <w:rFonts w:ascii="Arial" w:cs="Arial" w:eastAsia="Arial" w:hAnsi="Arial"/>
                <w:sz w:val="20"/>
                <w:szCs w:val="20"/>
                <w:color w:val="auto"/>
              </w:rPr>
              <w:t>7x</w:t>
            </w:r>
          </w:p>
        </w:tc>
        <w:tc>
          <w:tcPr>
            <w:tcW w:w="20" w:type="dxa"/>
            <w:vAlign w:val="bottom"/>
            <w:shd w:val="clear" w:color="auto" w:fill="123054"/>
          </w:tcPr>
          <w:p>
            <w:pPr>
              <w:spacing w:after="0"/>
              <w:rPr>
                <w:sz w:val="22"/>
                <w:szCs w:val="22"/>
                <w:color w:val="auto"/>
              </w:rPr>
            </w:pPr>
          </w:p>
        </w:tc>
      </w:tr>
      <w:tr>
        <w:trPr>
          <w:trHeight w:val="283"/>
        </w:trPr>
        <w:tc>
          <w:tcPr>
            <w:tcW w:w="6720" w:type="dxa"/>
            <w:vAlign w:val="bottom"/>
            <w:tcBorders>
              <w:left w:val="single" w:sz="8" w:color="123054"/>
              <w:bottom w:val="single" w:sz="8" w:color="123054"/>
              <w:right w:val="single" w:sz="8" w:color="123054"/>
            </w:tcBorders>
            <w:shd w:val="clear" w:color="auto" w:fill="DBDBDB"/>
          </w:tcPr>
          <w:p>
            <w:pPr>
              <w:ind w:left="140"/>
              <w:spacing w:after="0"/>
              <w:rPr>
                <w:sz w:val="20"/>
                <w:szCs w:val="20"/>
                <w:color w:val="auto"/>
              </w:rPr>
            </w:pPr>
            <w:r>
              <w:rPr>
                <w:rFonts w:ascii="Arial" w:cs="Arial" w:eastAsia="Arial" w:hAnsi="Arial"/>
                <w:sz w:val="20"/>
                <w:szCs w:val="20"/>
                <w:color w:val="auto"/>
              </w:rPr>
              <w:t>Senior Executive Vice Presidents &amp; Executive Vice Presidents</w:t>
            </w:r>
          </w:p>
        </w:tc>
        <w:tc>
          <w:tcPr>
            <w:tcW w:w="1220" w:type="dxa"/>
            <w:vAlign w:val="bottom"/>
            <w:tcBorders>
              <w:bottom w:val="single" w:sz="8" w:color="123054"/>
            </w:tcBorders>
            <w:shd w:val="clear" w:color="auto" w:fill="DBDBDB"/>
          </w:tcPr>
          <w:p>
            <w:pPr>
              <w:jc w:val="center"/>
              <w:spacing w:after="0"/>
              <w:rPr>
                <w:sz w:val="20"/>
                <w:szCs w:val="20"/>
                <w:color w:val="auto"/>
              </w:rPr>
            </w:pPr>
            <w:r>
              <w:rPr>
                <w:rFonts w:ascii="Arial" w:cs="Arial" w:eastAsia="Arial" w:hAnsi="Arial"/>
                <w:sz w:val="20"/>
                <w:szCs w:val="20"/>
                <w:color w:val="auto"/>
              </w:rPr>
              <w:t>3x</w:t>
            </w:r>
          </w:p>
        </w:tc>
        <w:tc>
          <w:tcPr>
            <w:tcW w:w="20" w:type="dxa"/>
            <w:vAlign w:val="bottom"/>
            <w:tcBorders>
              <w:bottom w:val="single" w:sz="8" w:color="123054"/>
            </w:tcBorders>
            <w:shd w:val="clear" w:color="auto" w:fill="123054"/>
          </w:tcPr>
          <w:p>
            <w:pPr>
              <w:spacing w:after="0"/>
              <w:rPr>
                <w:sz w:val="24"/>
                <w:szCs w:val="24"/>
                <w:color w:val="auto"/>
              </w:rPr>
            </w:pPr>
          </w:p>
        </w:tc>
      </w:tr>
    </w:tbl>
    <w:p>
      <w:pPr>
        <w:spacing w:after="0" w:line="181" w:lineRule="exact"/>
        <w:rPr>
          <w:sz w:val="20"/>
          <w:szCs w:val="20"/>
          <w:color w:val="auto"/>
        </w:rPr>
      </w:pPr>
    </w:p>
    <w:p>
      <w:pPr>
        <w:ind w:left="140"/>
        <w:spacing w:after="0" w:line="269" w:lineRule="auto"/>
        <w:rPr>
          <w:sz w:val="20"/>
          <w:szCs w:val="20"/>
          <w:color w:val="auto"/>
        </w:rPr>
      </w:pPr>
      <w:r>
        <w:rPr>
          <w:rFonts w:ascii="Arial" w:cs="Arial" w:eastAsia="Arial" w:hAnsi="Arial"/>
          <w:sz w:val="20"/>
          <w:szCs w:val="20"/>
          <w:color w:val="auto"/>
        </w:rPr>
        <w:t>Under our minimum ownership guidelines, all unvested restricted stock and vested shares are included in determining compliance with the ownership multiple, but unvested performance-based restricted stock are excluded from the calculation of shares of stock held by the executive.</w:t>
      </w:r>
    </w:p>
    <w:p>
      <w:pPr>
        <w:spacing w:after="0" w:line="185" w:lineRule="exact"/>
        <w:rPr>
          <w:sz w:val="20"/>
          <w:szCs w:val="20"/>
          <w:color w:val="auto"/>
        </w:rPr>
      </w:pPr>
    </w:p>
    <w:p>
      <w:pPr>
        <w:ind w:left="140" w:right="240"/>
        <w:spacing w:after="0" w:line="254" w:lineRule="auto"/>
        <w:rPr>
          <w:sz w:val="20"/>
          <w:szCs w:val="20"/>
          <w:color w:val="auto"/>
        </w:rPr>
      </w:pPr>
      <w:r>
        <w:rPr>
          <w:rFonts w:ascii="Arial" w:cs="Arial" w:eastAsia="Arial" w:hAnsi="Arial"/>
          <w:sz w:val="20"/>
          <w:szCs w:val="20"/>
          <w:color w:val="auto"/>
        </w:rPr>
        <w:t>In addition, our equity retention policy for NEOs requires that any time-based restricted stock granted to a NEO be held for four years following the date of grant before those shares may be sold, except for any withholding to cover tax obligations resulting from the vesting of such shares. The policy also requires that shares underlying time-based options granted be held for at least one year from the date of vesting. During fiscal2024, each of our NEOs was in compliance with his or her applicable minimum ownership requirement.</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401(K) PLAN</w:t>
      </w:r>
    </w:p>
    <w:p>
      <w:pPr>
        <w:spacing w:after="0" w:line="294" w:lineRule="exact"/>
        <w:rPr>
          <w:sz w:val="20"/>
          <w:szCs w:val="20"/>
          <w:color w:val="auto"/>
        </w:rPr>
      </w:pPr>
    </w:p>
    <w:p>
      <w:pPr>
        <w:ind w:left="140" w:right="240"/>
        <w:spacing w:after="0" w:line="270" w:lineRule="auto"/>
        <w:rPr>
          <w:sz w:val="20"/>
          <w:szCs w:val="20"/>
          <w:color w:val="auto"/>
        </w:rPr>
      </w:pPr>
      <w:r>
        <w:rPr>
          <w:rFonts w:ascii="Arial" w:cs="Arial" w:eastAsia="Arial" w:hAnsi="Arial"/>
          <w:sz w:val="19"/>
          <w:szCs w:val="19"/>
          <w:color w:val="auto"/>
        </w:rPr>
        <w:t>Carter’s 401(k) program provides for a Company match of employee contributions, including contributions by NEOs, at the discretion of Carter's, based on Carter’s performa.InceJanuary2025, the Committee approved that employee contributions made to Carter’s 401(k) plan in fiscal2024 would be matched by Carter's 100% up to 4%f theo employee’s eligible compensation for all eligible employees, up to the maximum amount permitted by the Internal Revenue Service. This matching contribution was approved by the Committee following its consideration of our employees’ efforts for fiscal 2024.</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PERQUISITES AND OTHER BENEFITS</w:t>
      </w:r>
    </w:p>
    <w:p>
      <w:pPr>
        <w:spacing w:after="0" w:line="172" w:lineRule="exact"/>
        <w:rPr>
          <w:sz w:val="20"/>
          <w:szCs w:val="20"/>
          <w:color w:val="auto"/>
        </w:rPr>
      </w:pPr>
    </w:p>
    <w:p>
      <w:pPr>
        <w:ind w:left="140" w:right="200"/>
        <w:spacing w:after="0" w:line="259" w:lineRule="auto"/>
        <w:rPr>
          <w:sz w:val="20"/>
          <w:szCs w:val="20"/>
          <w:color w:val="auto"/>
        </w:rPr>
      </w:pPr>
      <w:r>
        <w:rPr>
          <w:rFonts w:ascii="Arial" w:cs="Arial" w:eastAsia="Arial" w:hAnsi="Arial"/>
          <w:sz w:val="20"/>
          <w:szCs w:val="20"/>
          <w:color w:val="auto"/>
        </w:rPr>
        <w:t>Our NEOs do not receive any perquisites or other benefits on an annual basis that are not otherwise available to all employees. The cost of providing these benefits and perquisites to the NEOs is included in the amounts shown in the “All Other Compensation” column of the Summary Compensation Table and detailed in the footnotes to such table.</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INSIDER TRADING POLICY</w:t>
      </w:r>
    </w:p>
    <w:p>
      <w:pPr>
        <w:spacing w:after="0" w:line="267" w:lineRule="exact"/>
        <w:rPr>
          <w:sz w:val="20"/>
          <w:szCs w:val="20"/>
          <w:color w:val="auto"/>
        </w:rPr>
      </w:pPr>
    </w:p>
    <w:p>
      <w:pPr>
        <w:ind w:left="140" w:right="40"/>
        <w:spacing w:after="0" w:line="261" w:lineRule="auto"/>
        <w:rPr>
          <w:sz w:val="20"/>
          <w:szCs w:val="20"/>
          <w:color w:val="auto"/>
        </w:rPr>
      </w:pPr>
      <w:r>
        <w:rPr>
          <w:rFonts w:ascii="Arial" w:cs="Arial" w:eastAsia="Arial" w:hAnsi="Arial"/>
          <w:sz w:val="20"/>
          <w:szCs w:val="20"/>
          <w:color w:val="auto"/>
        </w:rPr>
        <w:t>We maintain anInsider Trading Policygoverning the purchase, sale, and/or other dispositions of our securities by our directors, officers, and employees, as well as by Carter’s, that we believe is reasonably designed to promote compliance with insider trading laws, rules, and regulations, and the exchange listing standards applicable to us.A copy of our Insider Trading Policy was filed as an exhibit to our Annual Report on Form 10-K for the fiscal year ended December 28, 2024.</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CLAWBACK AND HEDGING POLICIES</w:t>
      </w:r>
    </w:p>
    <w:p>
      <w:pPr>
        <w:sectPr>
          <w:pgSz w:w="11900" w:h="16838" w:orient="portrait"/>
          <w:cols w:equalWidth="0" w:num="1">
            <w:col w:w="9340"/>
          </w:cols>
          <w:pgMar w:left="1440" w:top="235" w:right="1119" w:bottom="0" w:gutter="0" w:footer="0" w:header="0"/>
        </w:sectPr>
      </w:pPr>
    </w:p>
    <w:p>
      <w:pPr>
        <w:spacing w:after="0" w:line="21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Carter's has adopted a clawback policy, consistent with the requirements of Rule 10D-1 under the</w:t>
      </w:r>
    </w:p>
    <w:p>
      <w:pPr>
        <w:sectPr>
          <w:pgSz w:w="11900" w:h="16838" w:orient="portrait"/>
          <w:cols w:equalWidth="0" w:num="1">
            <w:col w:w="9340"/>
          </w:cols>
          <w:pgMar w:left="1440" w:top="235" w:right="1119" w:bottom="0" w:gutter="0" w:footer="0" w:header="0"/>
          <w:type w:val="continuous"/>
        </w:sectPr>
      </w:pPr>
    </w:p>
    <w:bookmarkStart w:id="44" w:name="page45"/>
    <w:bookmarkEnd w:id="44"/>
    <w:p>
      <w:pPr>
        <w:ind w:left="140" w:right="660"/>
        <w:spacing w:after="0" w:line="183" w:lineRule="auto"/>
        <w:rPr>
          <w:sz w:val="20"/>
          <w:szCs w:val="20"/>
          <w:color w:val="auto"/>
        </w:rPr>
      </w:pPr>
      <w:r>
        <w:rPr>
          <w:rFonts w:ascii="Arial" w:cs="Arial" w:eastAsia="Arial" w:hAnsi="Arial"/>
          <w:sz w:val="18"/>
          <w:szCs w:val="18"/>
          <w:color w:val="auto"/>
        </w:rPr>
        <w:t>Exchange Act and the related NYSE listing standards, that requires an executive officer to repay or return erroneously awarded compensation in the event of an accounting restatement of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-177165</wp:posOffset>
            </wp:positionV>
            <wp:extent cx="6810375" cy="1527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15278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color w:val="auto"/>
        </w:rPr>
        <w:t>reported financial results.</w:t>
      </w:r>
    </w:p>
    <w:p>
      <w:pPr>
        <w:spacing w:after="0" w:line="238" w:lineRule="exact"/>
        <w:rPr>
          <w:sz w:val="20"/>
          <w:szCs w:val="20"/>
          <w:color w:val="auto"/>
        </w:rPr>
      </w:pPr>
    </w:p>
    <w:p>
      <w:pPr>
        <w:ind w:left="140" w:right="880"/>
        <w:spacing w:after="0" w:line="313" w:lineRule="auto"/>
        <w:rPr>
          <w:sz w:val="20"/>
          <w:szCs w:val="20"/>
          <w:color w:val="auto"/>
        </w:rPr>
      </w:pPr>
      <w:r>
        <w:rPr>
          <w:rFonts w:ascii="Arial" w:cs="Arial" w:eastAsia="Arial" w:hAnsi="Arial"/>
          <w:sz w:val="19"/>
          <w:szCs w:val="19"/>
          <w:color w:val="auto"/>
        </w:rPr>
        <w:t>Further, hedging and pledging of Company stock by any Board member or employee of Carter’s, including our NEOs, is prohibited under our policies to ensure that the interests of the holders of</w:t>
      </w:r>
    </w:p>
    <w:p>
      <w:pPr>
        <w:spacing w:after="0" w:line="3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867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right="840"/>
        <w:spacing w:after="0" w:line="286" w:lineRule="auto"/>
        <w:rPr>
          <w:sz w:val="20"/>
          <w:szCs w:val="20"/>
          <w:color w:val="auto"/>
        </w:rPr>
      </w:pPr>
      <w:r>
        <w:rPr>
          <w:rFonts w:ascii="Arial" w:cs="Arial" w:eastAsia="Arial" w:hAnsi="Arial"/>
          <w:sz w:val="20"/>
          <w:szCs w:val="20"/>
          <w:color w:val="auto"/>
        </w:rPr>
        <w:t>Carter’s stock are fully aligned with those of shareholders in general. During fiscal2024, none of our NEOs entered into a hedging arrangement or pledged any shares of Carter's stock.</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RETIREMENT OF FORMER PRESIDENT &amp; CONSULTING AGREEMENT</w:t>
      </w:r>
    </w:p>
    <w:p>
      <w:pPr>
        <w:spacing w:after="0" w:line="213" w:lineRule="exact"/>
        <w:rPr>
          <w:sz w:val="20"/>
          <w:szCs w:val="20"/>
          <w:color w:val="auto"/>
        </w:rPr>
      </w:pPr>
    </w:p>
    <w:p>
      <w:pPr>
        <w:ind w:left="140" w:right="360"/>
        <w:spacing w:after="0" w:line="264" w:lineRule="auto"/>
        <w:rPr>
          <w:sz w:val="20"/>
          <w:szCs w:val="20"/>
          <w:color w:val="auto"/>
        </w:rPr>
      </w:pPr>
      <w:r>
        <w:rPr>
          <w:rFonts w:ascii="Arial" w:cs="Arial" w:eastAsia="Arial" w:hAnsi="Arial"/>
          <w:sz w:val="19"/>
          <w:szCs w:val="19"/>
          <w:color w:val="auto"/>
        </w:rPr>
        <w:t>In connection with Mr. Lynch's retirement in February 2024, the Company entered into a consulting agreement with Mr. Lynchpursuant to which Mr. Lynch served as a consultant to the Company following his retirement to assist with an orderly transition. The consulting agreement provides for, among other things: (i) a term of twelve months through the end of February 2025; and (ii) a consulting fee$125,000of</w:t>
      </w:r>
    </w:p>
    <w:p>
      <w:pPr>
        <w:spacing w:after="0" w:line="2" w:lineRule="exact"/>
        <w:rPr>
          <w:sz w:val="20"/>
          <w:szCs w:val="20"/>
          <w:color w:val="auto"/>
        </w:rPr>
      </w:pPr>
    </w:p>
    <w:p>
      <w:pPr>
        <w:ind w:left="140" w:right="460"/>
        <w:spacing w:after="0" w:line="253" w:lineRule="auto"/>
        <w:rPr>
          <w:sz w:val="20"/>
          <w:szCs w:val="20"/>
          <w:color w:val="auto"/>
        </w:rPr>
      </w:pPr>
      <w:r>
        <w:rPr>
          <w:rFonts w:ascii="Arial" w:cs="Arial" w:eastAsia="Arial" w:hAnsi="Arial"/>
          <w:sz w:val="20"/>
          <w:szCs w:val="20"/>
          <w:color w:val="auto"/>
        </w:rPr>
        <w:t>per month payable by the Company to Mr. Lynch for the consulting services provided to the Company during the period of the consulting agreement, which consulting services include consultations with executive officers and other management personnel of the Company related to the business of the Company and assistance with leadership transitions at the Company.</w:t>
      </w:r>
    </w:p>
    <w:p>
      <w:pPr>
        <w:spacing w:after="0" w:line="200" w:lineRule="exact"/>
        <w:rPr>
          <w:sz w:val="20"/>
          <w:szCs w:val="20"/>
          <w:color w:val="auto"/>
        </w:rPr>
      </w:pPr>
    </w:p>
    <w:p>
      <w:pPr>
        <w:ind w:left="140" w:right="160"/>
        <w:spacing w:after="0" w:line="254" w:lineRule="auto"/>
        <w:rPr>
          <w:sz w:val="20"/>
          <w:szCs w:val="20"/>
          <w:color w:val="auto"/>
        </w:rPr>
      </w:pPr>
      <w:r>
        <w:rPr>
          <w:rFonts w:ascii="Arial" w:cs="Arial" w:eastAsia="Arial" w:hAnsi="Arial"/>
          <w:sz w:val="20"/>
          <w:szCs w:val="20"/>
          <w:color w:val="auto"/>
        </w:rPr>
        <w:t>In addition, pursuant to the terms of the outstanding award agreements governing Mr. Lynch's unvested performance-based restricted stock, Mr. Lynch received “retirement” treatment for those outstanding awards upon his retirement in February 2024. This treatment resulted in pro-rated vesting of his performance-based restricted stock (calculated based on the number of days he worked at the Company from the grant date through the retirement date) subject to the achievement, by the Company, of the performance metrics under the applicable award agreements.</w:t>
      </w:r>
    </w:p>
    <w:p>
      <w:pPr>
        <w:spacing w:after="0" w:line="112" w:lineRule="exact"/>
        <w:rPr>
          <w:sz w:val="20"/>
          <w:szCs w:val="20"/>
          <w:color w:val="auto"/>
        </w:rPr>
      </w:pPr>
    </w:p>
    <w:p>
      <w:pPr>
        <w:ind w:left="140" w:right="100"/>
        <w:spacing w:after="0" w:line="298" w:lineRule="auto"/>
        <w:rPr>
          <w:sz w:val="20"/>
          <w:szCs w:val="20"/>
          <w:color w:val="auto"/>
        </w:rPr>
      </w:pPr>
      <w:r>
        <w:rPr>
          <w:rFonts w:ascii="Arial" w:cs="Arial" w:eastAsia="Arial" w:hAnsi="Arial"/>
          <w:sz w:val="22"/>
          <w:szCs w:val="22"/>
          <w:b w:val="1"/>
          <w:bCs w:val="1"/>
          <w:color w:val="123054"/>
        </w:rPr>
        <w:t>RETIREMENT OF FORMER CHAIRMAN AND CHIEF EXECUTIVE OFFICER &amp; RETIREMENT AGREEMENT</w:t>
      </w:r>
    </w:p>
    <w:p>
      <w:pPr>
        <w:spacing w:after="0" w:line="81" w:lineRule="exact"/>
        <w:rPr>
          <w:sz w:val="20"/>
          <w:szCs w:val="20"/>
          <w:color w:val="auto"/>
        </w:rPr>
      </w:pPr>
    </w:p>
    <w:p>
      <w:pPr>
        <w:ind w:left="140" w:right="140"/>
        <w:spacing w:after="0" w:line="254" w:lineRule="auto"/>
        <w:rPr>
          <w:sz w:val="20"/>
          <w:szCs w:val="20"/>
          <w:color w:val="auto"/>
        </w:rPr>
      </w:pPr>
      <w:r>
        <w:rPr>
          <w:rFonts w:ascii="Arial" w:cs="Arial" w:eastAsia="Arial" w:hAnsi="Arial"/>
          <w:sz w:val="20"/>
          <w:szCs w:val="20"/>
          <w:color w:val="auto"/>
        </w:rPr>
        <w:t>In connection with Mr. Casey's retirement in February 2025, Carter’s and Mr. Casey entered into a Retirement Agreement and Release, datedFebruary 20, 2025Under. the Retirement Agreement and Release, Mr. Casey received accelerated vesting of his outstanding unvested time-based restricted stock awards and pro-rated vesting of his PSAs issued in 2023 and 2024 (subject to the attainment of the performance metrics under those awards).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APPOINTMENT OF INTERIM CHIEF EXECUTIVE OFFICER</w:t>
      </w:r>
    </w:p>
    <w:p>
      <w:pPr>
        <w:spacing w:after="0" w:line="172"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In connection with Mr. Casey's retirement as Chairman and Chief Executive Officer, the Board appointed Richard F. Westenberger as Interim Chief Executive Officer, effective January 5, 2025. Mr. Westenberger’s appointment ended on April 3, 2025 in connection with the appointment of Douglas C. Palladini as Chief Executive Officer &amp; President. Mr. Westenberger is continuing to serve in his role as Senior Executive Vice President, Chief Financial Officer &amp; Chief Operating Officer.</w:t>
      </w:r>
    </w:p>
    <w:p>
      <w:pPr>
        <w:spacing w:after="0" w:line="120" w:lineRule="exact"/>
        <w:rPr>
          <w:sz w:val="20"/>
          <w:szCs w:val="20"/>
          <w:color w:val="auto"/>
        </w:rPr>
      </w:pPr>
    </w:p>
    <w:p>
      <w:pPr>
        <w:ind w:left="140" w:right="40"/>
        <w:spacing w:after="0" w:line="270" w:lineRule="auto"/>
        <w:rPr>
          <w:sz w:val="20"/>
          <w:szCs w:val="20"/>
          <w:color w:val="auto"/>
        </w:rPr>
      </w:pPr>
      <w:r>
        <w:rPr>
          <w:rFonts w:ascii="Arial" w:cs="Arial" w:eastAsia="Arial" w:hAnsi="Arial"/>
          <w:sz w:val="19"/>
          <w:szCs w:val="19"/>
          <w:color w:val="auto"/>
        </w:rPr>
        <w:t>In his capacity as Interim CEO, Mr. Westenberger received a monthly cash stipend of $110,000, and also received restricted stock awards in an amount of $300,000 pursuant to the Company’s Amended and Restated Equity Incentive Plan on a quarterly basis (the “Westenberger Awards”), each vesting within one year of the grant date of the relevant Westenberger Award. The Westenberger Awards will be immediately vested in the event that Mr. Westenberger is terminated without cause or resigns for good reason prior to the applicable vesting date, or in the event of his death or disability prior to the vesting date.</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APPOINTMENT OF CHIEF EXECUTIVE OFFICER &amp; PRESIDENT</w:t>
      </w:r>
    </w:p>
    <w:p>
      <w:pPr>
        <w:spacing w:after="0" w:line="172" w:lineRule="exact"/>
        <w:rPr>
          <w:sz w:val="20"/>
          <w:szCs w:val="20"/>
          <w:color w:val="auto"/>
        </w:rPr>
      </w:pPr>
    </w:p>
    <w:p>
      <w:pPr>
        <w:ind w:left="140" w:right="200"/>
        <w:spacing w:after="0" w:line="276" w:lineRule="auto"/>
        <w:rPr>
          <w:sz w:val="20"/>
          <w:szCs w:val="20"/>
          <w:color w:val="auto"/>
        </w:rPr>
      </w:pPr>
      <w:r>
        <w:rPr>
          <w:rFonts w:ascii="Arial" w:cs="Arial" w:eastAsia="Arial" w:hAnsi="Arial"/>
          <w:sz w:val="19"/>
          <w:szCs w:val="19"/>
          <w:color w:val="auto"/>
        </w:rPr>
        <w:t>On March 26, 2025, the Company announced that the Board approved the appointment of Douglas C. Palladini as Chief Executive Officer and President of the Company and a member of the Board, effective</w:t>
      </w:r>
    </w:p>
    <w:p>
      <w:pPr>
        <w:spacing w:after="0" w:line="1" w:lineRule="exact"/>
        <w:rPr>
          <w:sz w:val="20"/>
          <w:szCs w:val="20"/>
          <w:color w:val="auto"/>
        </w:rPr>
      </w:pPr>
    </w:p>
    <w:p>
      <w:pPr>
        <w:ind w:left="140" w:right="40"/>
        <w:spacing w:after="0" w:line="253" w:lineRule="auto"/>
        <w:rPr>
          <w:sz w:val="20"/>
          <w:szCs w:val="20"/>
          <w:color w:val="auto"/>
        </w:rPr>
      </w:pPr>
      <w:r>
        <w:rPr>
          <w:rFonts w:ascii="Arial" w:cs="Arial" w:eastAsia="Arial" w:hAnsi="Arial"/>
          <w:sz w:val="20"/>
          <w:szCs w:val="20"/>
          <w:color w:val="auto"/>
        </w:rPr>
        <w:t>April 3, 2025 (theEffective“ Date”). On the Effective Date, Richard F. Westenberger, who was serving as the Company’s Interim Chief Executive Officer, ceased to serve in that capacity but is continuing with the Company as its Senior Executive Vice President, Chief Financial Officer &amp; Chief Operating Officer.</w:t>
      </w:r>
    </w:p>
    <w:p>
      <w:pPr>
        <w:sectPr>
          <w:pgSz w:w="11900" w:h="16838" w:orient="portrait"/>
          <w:cols w:equalWidth="0" w:num="1">
            <w:col w:w="9440"/>
          </w:cols>
          <w:pgMar w:left="1440" w:top="104" w:right="1019" w:bottom="149" w:gutter="0" w:footer="0" w:header="0"/>
        </w:sectPr>
      </w:pP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9440"/>
          </w:cols>
          <w:pgMar w:left="1440" w:top="104" w:right="1019" w:bottom="149" w:gutter="0" w:footer="0" w:header="0"/>
          <w:type w:val="continuous"/>
        </w:sectPr>
      </w:pPr>
    </w:p>
    <w:bookmarkStart w:id="45" w:name="page46"/>
    <w:bookmarkEnd w:id="4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865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8865870"/>
                    </a:xfrm>
                    <a:prstGeom prst="rect">
                      <a:avLst/>
                    </a:prstGeom>
                    <a:noFill/>
                  </pic:spPr>
                </pic:pic>
              </a:graphicData>
            </a:graphic>
          </wp:anchor>
        </w:drawing>
      </w:r>
    </w:p>
    <w:p>
      <w:pPr>
        <w:ind w:left="140" w:right="280"/>
        <w:spacing w:after="0" w:line="254" w:lineRule="auto"/>
        <w:rPr>
          <w:sz w:val="20"/>
          <w:szCs w:val="20"/>
          <w:color w:val="auto"/>
        </w:rPr>
      </w:pPr>
      <w:r>
        <w:rPr>
          <w:rFonts w:ascii="Arial" w:cs="Arial" w:eastAsia="Arial" w:hAnsi="Arial"/>
          <w:sz w:val="20"/>
          <w:szCs w:val="20"/>
          <w:color w:val="auto"/>
        </w:rPr>
        <w:t>In connection with Mr. Palladini’s appointment, Mr. Palladini and the Company executed an offer letter on March 21, 2025 (the Offer“ Letter”). Pursuant to the Offer Letter, during Mr. Palladini’s employment with the Company, he will receive an initial base salary of $1,200,000 per year, and an annual cash incentive opportunity at target of 150%, which will be prorated for fiscal year 2025. Commencing in the Company’s fiscal year 2026, Mr. Palladini will be eligible to receive annual equity awards with a target value of $5,500,000, pursuant to the terms of the Company’s shareholder-approved equity plan.</w:t>
      </w:r>
    </w:p>
    <w:p>
      <w:pPr>
        <w:spacing w:after="0" w:line="187" w:lineRule="exact"/>
        <w:rPr>
          <w:sz w:val="20"/>
          <w:szCs w:val="20"/>
          <w:color w:val="auto"/>
        </w:rPr>
      </w:pPr>
    </w:p>
    <w:p>
      <w:pPr>
        <w:ind w:left="140" w:right="100"/>
        <w:spacing w:after="0" w:line="252" w:lineRule="auto"/>
        <w:rPr>
          <w:sz w:val="20"/>
          <w:szCs w:val="20"/>
          <w:color w:val="auto"/>
        </w:rPr>
      </w:pPr>
      <w:r>
        <w:rPr>
          <w:rFonts w:ascii="Arial" w:cs="Arial" w:eastAsia="Arial" w:hAnsi="Arial"/>
          <w:sz w:val="20"/>
          <w:szCs w:val="20"/>
          <w:color w:val="auto"/>
        </w:rPr>
        <w:t>Pursuant to the Offer Letter, on April 3, 2025, Mr. Palladini received a $7,000,000 sign-on equity grant, with 50% of the grant in the form of time-based restricted stock and 50% in the form of performance-based restricted stock. The time-based restricted stock vests in four equal increments over a four-year period on each of the anniversaries of the grant date. The performance-based restricted stock will be earned upon achieving share price hurdles for 20 consecutive trading days over a three-year performance period, starting on the award grant date (April 3, 2025) and ending on the third anniversary of the award grant date (April 3, 2028). These share price hurdles are based on the closing price of stock on the grant date, using the following growth rates:</w:t>
      </w:r>
    </w:p>
    <w:p>
      <w:pPr>
        <w:spacing w:after="0" w:line="174"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1/3 at 30% growth;</w:t>
      </w:r>
    </w:p>
    <w:p>
      <w:pPr>
        <w:spacing w:after="0" w:line="161" w:lineRule="exact"/>
        <w:rPr>
          <w:rFonts w:ascii="Arial" w:cs="Arial" w:eastAsia="Arial" w:hAnsi="Arial"/>
          <w:sz w:val="20"/>
          <w:szCs w:val="20"/>
          <w:color w:val="auto"/>
        </w:rPr>
      </w:pPr>
    </w:p>
    <w:p>
      <w:pPr>
        <w:ind w:left="780" w:hanging="326"/>
        <w:spacing w:after="0"/>
        <w:tabs>
          <w:tab w:leader="none" w:pos="7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1/3 at 60% growth;</w:t>
      </w:r>
    </w:p>
    <w:p>
      <w:pPr>
        <w:spacing w:after="0" w:line="148" w:lineRule="exact"/>
        <w:rPr>
          <w:rFonts w:ascii="Arial" w:cs="Arial" w:eastAsia="Arial" w:hAnsi="Arial"/>
          <w:sz w:val="20"/>
          <w:szCs w:val="20"/>
          <w:color w:val="auto"/>
        </w:rPr>
      </w:pPr>
    </w:p>
    <w:p>
      <w:pPr>
        <w:ind w:left="780" w:hanging="326"/>
        <w:spacing w:after="0"/>
        <w:tabs>
          <w:tab w:leader="none" w:pos="7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1/3 at 90% growth.</w:t>
      </w:r>
    </w:p>
    <w:p>
      <w:pPr>
        <w:spacing w:after="0" w:line="229" w:lineRule="exact"/>
        <w:rPr>
          <w:sz w:val="20"/>
          <w:szCs w:val="20"/>
          <w:color w:val="auto"/>
        </w:rPr>
      </w:pPr>
    </w:p>
    <w:p>
      <w:pPr>
        <w:ind w:left="140" w:right="520"/>
        <w:spacing w:after="0" w:line="298" w:lineRule="auto"/>
        <w:rPr>
          <w:sz w:val="20"/>
          <w:szCs w:val="20"/>
          <w:color w:val="auto"/>
        </w:rPr>
      </w:pPr>
      <w:r>
        <w:rPr>
          <w:rFonts w:ascii="Arial" w:cs="Arial" w:eastAsia="Arial" w:hAnsi="Arial"/>
          <w:sz w:val="19"/>
          <w:szCs w:val="19"/>
          <w:color w:val="auto"/>
        </w:rPr>
        <w:t>The growth objectives may be achieved at any time over the three-year period, and the corresponding number of shares earned, but the shares will not vest until the end of the three-year period.</w:t>
      </w:r>
    </w:p>
    <w:p>
      <w:pPr>
        <w:spacing w:after="0" w:line="146" w:lineRule="exact"/>
        <w:rPr>
          <w:sz w:val="20"/>
          <w:szCs w:val="20"/>
          <w:color w:val="auto"/>
        </w:rPr>
      </w:pPr>
    </w:p>
    <w:p>
      <w:pPr>
        <w:ind w:left="140" w:right="500"/>
        <w:spacing w:after="0" w:line="254" w:lineRule="auto"/>
        <w:rPr>
          <w:sz w:val="20"/>
          <w:szCs w:val="20"/>
          <w:color w:val="auto"/>
        </w:rPr>
      </w:pPr>
      <w:r>
        <w:rPr>
          <w:rFonts w:ascii="Arial" w:cs="Arial" w:eastAsia="Arial" w:hAnsi="Arial"/>
          <w:sz w:val="20"/>
          <w:szCs w:val="20"/>
          <w:color w:val="auto"/>
        </w:rPr>
        <w:t>Mr. Palladini is expected to enter into the Company’s previously disclosed Severance Agreement and participate in the employee benefit plans and programs provided by the Company to other senior executives. Mr. Palladini will be covered by any Company directors and officers insurance policies. Mr. Palladini will also be subject to the Company’s restrictive covenants included in the Severance Agreement, which include restrictions relating to non-competition and non-solicitation for 24 months after the termination date and protection of confidential information.</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SEVERANCE AGREEMENTS WITH NEOS</w:t>
      </w:r>
    </w:p>
    <w:p>
      <w:pPr>
        <w:spacing w:after="0" w:line="226" w:lineRule="exact"/>
        <w:rPr>
          <w:sz w:val="20"/>
          <w:szCs w:val="20"/>
          <w:color w:val="auto"/>
        </w:rPr>
      </w:pPr>
    </w:p>
    <w:p>
      <w:pPr>
        <w:ind w:left="140" w:right="40"/>
        <w:spacing w:after="0" w:line="258" w:lineRule="auto"/>
        <w:rPr>
          <w:sz w:val="20"/>
          <w:szCs w:val="20"/>
          <w:color w:val="auto"/>
        </w:rPr>
      </w:pPr>
      <w:r>
        <w:rPr>
          <w:rFonts w:ascii="Arial" w:cs="Arial" w:eastAsia="Arial" w:hAnsi="Arial"/>
          <w:sz w:val="20"/>
          <w:szCs w:val="20"/>
          <w:color w:val="auto"/>
        </w:rPr>
        <w:t>Each of our NEOs has a severance agreement with Carter’s. In the event that an NEO is terminated by Carter’s for any reason, the NEO or his or her estate will be provided: (a) the NEO’s base salary earned but not paid during the final payroll period, (b) pay for any vacation time earned but not used through the separation date, and (c) any business expenses incurred by the NEO but unreimbursed on the separation date.</w:t>
      </w:r>
    </w:p>
    <w:p>
      <w:pPr>
        <w:spacing w:after="0" w:line="100" w:lineRule="exact"/>
        <w:rPr>
          <w:sz w:val="20"/>
          <w:szCs w:val="20"/>
          <w:color w:val="auto"/>
        </w:rPr>
      </w:pPr>
    </w:p>
    <w:p>
      <w:pPr>
        <w:ind w:left="140"/>
        <w:spacing w:after="0" w:line="250" w:lineRule="auto"/>
        <w:rPr>
          <w:sz w:val="20"/>
          <w:szCs w:val="20"/>
          <w:color w:val="auto"/>
        </w:rPr>
      </w:pPr>
      <w:r>
        <w:rPr>
          <w:rFonts w:ascii="Arial" w:cs="Arial" w:eastAsia="Arial" w:hAnsi="Arial"/>
          <w:sz w:val="20"/>
          <w:szCs w:val="20"/>
          <w:color w:val="auto"/>
        </w:rPr>
        <w:t>If an NEO is terminated without “cause,” or an NEO terminates their employment for “good reason” (with “cause” and “good reason” defined in each NEO’s respective severance agreement and summarized below), the Company will be obligated to pay such NEO’s base salary for 12 months in the cases of Messrs. Westenberger and Sagi and Mses. Krugman and Peterson. In each case, base salary will be paid in bi-weekly installments. The Company is also obligated to pay each NEO a pro-rated annual cash incentive compensation amount that would have been earned by each such executive if he or she had been employed at the end of the year in which his or her employment was terminated. The determination of whether annual cash incentive compensation is payable to the NEO will not take into account any individual performance goals and shall be based solely on the extent to which Company performance goals have been met.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5678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156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right="280"/>
        <w:spacing w:after="0" w:line="254" w:lineRule="auto"/>
        <w:rPr>
          <w:sz w:val="20"/>
          <w:szCs w:val="20"/>
          <w:color w:val="auto"/>
        </w:rPr>
      </w:pPr>
      <w:r>
        <w:rPr>
          <w:rFonts w:ascii="Arial" w:cs="Arial" w:eastAsia="Arial" w:hAnsi="Arial"/>
          <w:sz w:val="20"/>
          <w:szCs w:val="20"/>
          <w:color w:val="auto"/>
        </w:rPr>
        <w:t>Further, the Company is obligated to pay the Company’s contribution to the medical and dental benefits for Messrs. Westenberger and Sagi and Mses. Krugman and Peterson, until the earlier of (i) 12 months following his or her separation date, (ii) the date the NEO becomes eligible for coverage under the health and/or dental plans of another employer, or (iii) the date the NEO otherwise ceases to be eligible to continue participation in the Company’s health and dental plans under COBRA. Additionally, the Company is obligated to pay the Company’s contribution to the life insurance benefits for 12 months in</w:t>
      </w:r>
    </w:p>
    <w:p>
      <w:pPr>
        <w:sectPr>
          <w:pgSz w:w="11900" w:h="16845" w:orient="portrait"/>
          <w:cols w:equalWidth="0" w:num="1">
            <w:col w:w="9560"/>
          </w:cols>
          <w:pgMar w:left="1440" w:top="1090" w:right="899" w:bottom="0" w:gutter="0" w:footer="0" w:header="0"/>
        </w:sectPr>
      </w:pPr>
    </w:p>
    <w:bookmarkStart w:id="46" w:name="page47"/>
    <w:bookmarkEnd w:id="46"/>
    <w:p>
      <w:pPr>
        <w:ind w:left="140"/>
        <w:spacing w:after="0" w:line="221" w:lineRule="auto"/>
        <w:rPr>
          <w:sz w:val="20"/>
          <w:szCs w:val="20"/>
          <w:color w:val="auto"/>
        </w:rPr>
      </w:pPr>
      <w:r>
        <w:rPr>
          <w:rFonts w:ascii="Arial" w:cs="Arial" w:eastAsia="Arial" w:hAnsi="Arial"/>
          <w:sz w:val="20"/>
          <w:szCs w:val="20"/>
          <w:color w:val="auto"/>
        </w:rPr>
        <w:t>the case of Messrs. Westenberger and Sagi and Mses. Krugman and Peterson. The payment of severance is contingent on the NEO (a) executing an effective release of claims, and (b) complying with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-245745</wp:posOffset>
            </wp:positionV>
            <wp:extent cx="6810375" cy="7288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72885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color w:val="auto"/>
        </w:rPr>
        <w:t>termination obligations including confidentiality, noncompetition, and non-solicitation covenants.</w:t>
      </w:r>
    </w:p>
    <w:p>
      <w:pPr>
        <w:spacing w:after="0" w:line="130" w:lineRule="exact"/>
        <w:rPr>
          <w:sz w:val="20"/>
          <w:szCs w:val="20"/>
          <w:color w:val="auto"/>
        </w:rPr>
      </w:pPr>
    </w:p>
    <w:p>
      <w:pPr>
        <w:ind w:left="140" w:right="300"/>
        <w:spacing w:after="0" w:line="263" w:lineRule="auto"/>
        <w:rPr>
          <w:sz w:val="20"/>
          <w:szCs w:val="20"/>
          <w:color w:val="auto"/>
        </w:rPr>
      </w:pPr>
      <w:r>
        <w:rPr>
          <w:rFonts w:ascii="Arial" w:cs="Arial" w:eastAsia="Arial" w:hAnsi="Arial"/>
          <w:sz w:val="19"/>
          <w:szCs w:val="19"/>
          <w:color w:val="auto"/>
        </w:rPr>
        <w:t>In the event that, within two years following a “change of control” (with “change of control” defined in each executive’s severance agreement) the Company terminates the NEO’s employment, other than for “cause” or such executive terminates his or her employment for “good reason,” the Company shall pay such NEO’s the following severance benefits in addition to the severance benefits in the preceding paragraph: (a) base salary for an additional 12 months for all NEOs, (b) the Company’s contribution to the medical and dental benefits, if following the expiration of the 12-month anniversary of such termination, the NEO has not yet become eligible for coverage under the health and/or dental plans of another employer, then for an additional 6-month period thereafter (or, if earlier, until the date the NEO becomes eligible for coverage under the health and/or dental plans of another employer), and (c) the Company’s contribution to the life insurance benefits, for an additional 12 months in the case of all NEOs. In the event of a “change of control” of the Company: (1) for all unvested stock options and all unvested shares of restricted stock (both time and performance-based) held by the NEO that were awarded prior to February 15, 2024, such awards will fully vest; and (2) for all unvested equity awards made on or after February 15, 2024, such awards will fully vest if there is a qualifying termination of employment within two years after the change in control or if the surviving entity does not provide qualifying replacement awards.</w:t>
      </w:r>
    </w:p>
    <w:p>
      <w:pPr>
        <w:spacing w:after="0" w:line="121" w:lineRule="exact"/>
        <w:rPr>
          <w:sz w:val="20"/>
          <w:szCs w:val="20"/>
          <w:color w:val="auto"/>
        </w:rPr>
      </w:pPr>
    </w:p>
    <w:p>
      <w:pPr>
        <w:ind w:left="140" w:right="260"/>
        <w:spacing w:after="0" w:line="252" w:lineRule="auto"/>
        <w:rPr>
          <w:sz w:val="20"/>
          <w:szCs w:val="20"/>
          <w:color w:val="auto"/>
        </w:rPr>
      </w:pPr>
      <w:r>
        <w:rPr>
          <w:rFonts w:ascii="Arial" w:cs="Arial" w:eastAsia="Arial" w:hAnsi="Arial"/>
          <w:sz w:val="20"/>
          <w:szCs w:val="20"/>
          <w:color w:val="auto"/>
        </w:rPr>
        <w:t>Under the severance agreements with each of our NEOs, “cause” is generally deemed to exist when such NEO has: (a) been convicted of a felony or entered a plea of guilty or no contest to a felony; (b) committed fraud or other act involving dishonesty for personal gain which is materially injurious to the Company; (c) materially breached his obligations of confidentiality, intellectual property assignment, non-competition, non-solicitation, or non-disparagement against the Company after a cure period, provided such breach by its nature was curable; (d) willfully engaged in gross misconduct which is injurious to the Company; or (e) after a cure period, willfully refused to substantially perform his or her duties or is grossly negligent in performance of such duties.</w:t>
      </w:r>
    </w:p>
    <w:p>
      <w:pPr>
        <w:spacing w:after="0" w:line="107" w:lineRule="exact"/>
        <w:rPr>
          <w:sz w:val="20"/>
          <w:szCs w:val="20"/>
          <w:color w:val="auto"/>
        </w:rPr>
      </w:pPr>
    </w:p>
    <w:p>
      <w:pPr>
        <w:ind w:left="140" w:right="400"/>
        <w:spacing w:after="0" w:line="258" w:lineRule="auto"/>
        <w:rPr>
          <w:sz w:val="20"/>
          <w:szCs w:val="20"/>
          <w:color w:val="auto"/>
        </w:rPr>
      </w:pPr>
      <w:r>
        <w:rPr>
          <w:rFonts w:ascii="Arial" w:cs="Arial" w:eastAsia="Arial" w:hAnsi="Arial"/>
          <w:sz w:val="20"/>
          <w:szCs w:val="20"/>
          <w:color w:val="auto"/>
        </w:rPr>
        <w:t>Under the agreements with our NEOs, “good reason” is generally deemed to exist when there is: (a) a material reduction in the executive’s title, duties, or responsibilities; (b) a material change in the geographic location at which the executive must perform services; or (c) a material breach of the executive’s agreement by the Company, provided the NEO complies with the written notice requirements and the cure period provided to Carter's.</w:t>
      </w:r>
    </w:p>
    <w:p>
      <w:pPr>
        <w:spacing w:after="0" w:line="195" w:lineRule="exact"/>
        <w:rPr>
          <w:sz w:val="20"/>
          <w:szCs w:val="20"/>
          <w:color w:val="auto"/>
        </w:rPr>
      </w:pPr>
    </w:p>
    <w:p>
      <w:pPr>
        <w:ind w:left="140" w:right="1220"/>
        <w:spacing w:after="0" w:line="269" w:lineRule="auto"/>
        <w:rPr>
          <w:sz w:val="20"/>
          <w:szCs w:val="20"/>
          <w:color w:val="auto"/>
        </w:rPr>
      </w:pPr>
      <w:r>
        <w:rPr>
          <w:rFonts w:ascii="Arial" w:cs="Arial" w:eastAsia="Arial" w:hAnsi="Arial"/>
          <w:sz w:val="20"/>
          <w:szCs w:val="20"/>
          <w:color w:val="auto"/>
        </w:rPr>
        <w:t>See “Potential Payments Upon Termination or Change of Control” below for a discussion and presentation of amounts our NEOs may be entitled to in the event of their termination, including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145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314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COMPENSATION &amp; HUMAN CAPITAL COMMITTEE REPORT</w:t>
      </w:r>
    </w:p>
    <w:p>
      <w:pPr>
        <w:spacing w:after="0" w:line="181" w:lineRule="exact"/>
        <w:rPr>
          <w:sz w:val="20"/>
          <w:szCs w:val="20"/>
          <w:color w:val="auto"/>
        </w:rPr>
      </w:pPr>
    </w:p>
    <w:p>
      <w:pPr>
        <w:ind w:left="140" w:right="740"/>
        <w:spacing w:after="0" w:line="244" w:lineRule="auto"/>
        <w:rPr>
          <w:sz w:val="20"/>
          <w:szCs w:val="20"/>
          <w:color w:val="auto"/>
        </w:rPr>
      </w:pPr>
      <w:r>
        <w:rPr>
          <w:rFonts w:ascii="Arial" w:cs="Arial" w:eastAsia="Arial" w:hAnsi="Arial"/>
          <w:sz w:val="20"/>
          <w:szCs w:val="20"/>
          <w:color w:val="auto"/>
        </w:rPr>
        <w:t>The Compensation &amp; Human Capital Committee of the Board has reviewed and discussed with Company management the Compensation Discussion and Analysis included in this proxy statement. Based on such review and discussions, the Compensation and Human Capital Committee has recommended to the Board that the Compensation Discussion and Analysis be included in this proxy statement for filing with the SEC.</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Submitted by the Compensation &amp; Human Capital</w:t>
      </w:r>
    </w:p>
    <w:p>
      <w:pPr>
        <w:spacing w:after="0" w:line="43"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Committee</w:t>
      </w:r>
    </w:p>
    <w:p>
      <w:pPr>
        <w:spacing w:after="0" w:line="160"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Mr. Jevin S. Eagle,</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Mr. Rochester Anderson, Jr.</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Mr. Luis Borgen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Mr. Mark P. Hipp</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Ms. Stephanie P. Stahl</w:t>
      </w:r>
    </w:p>
    <w:p>
      <w:pPr>
        <w:sectPr>
          <w:pgSz w:w="11900" w:h="16838" w:orient="portrait"/>
          <w:cols w:equalWidth="0" w:num="1">
            <w:col w:w="9680"/>
          </w:cols>
          <w:pgMar w:left="1440" w:top="104" w:right="779" w:bottom="0" w:gutter="0" w:footer="0" w:header="0"/>
        </w:sectPr>
      </w:pPr>
    </w:p>
    <w:bookmarkStart w:id="47" w:name="page48"/>
    <w:bookmarkEnd w:id="47"/>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711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5711190"/>
                    </a:xfrm>
                    <a:prstGeom prst="rect">
                      <a:avLst/>
                    </a:prstGeom>
                    <a:noFill/>
                  </pic:spPr>
                </pic:pic>
              </a:graphicData>
            </a:graphic>
          </wp:anchor>
        </w:drawing>
      </w:r>
    </w:p>
    <w:p>
      <w:pPr>
        <w:ind w:left="140"/>
        <w:spacing w:after="0" w:line="310" w:lineRule="auto"/>
        <w:rPr>
          <w:sz w:val="20"/>
          <w:szCs w:val="20"/>
          <w:color w:val="auto"/>
        </w:rPr>
      </w:pPr>
      <w:r>
        <w:rPr>
          <w:rFonts w:ascii="Arial" w:cs="Arial" w:eastAsia="Arial" w:hAnsi="Arial"/>
          <w:sz w:val="32"/>
          <w:szCs w:val="32"/>
          <w:b w:val="1"/>
          <w:bCs w:val="1"/>
          <w:color w:val="123054"/>
        </w:rPr>
        <w:t>COMPENSATION &amp; HUMAN CAPITAL COMMITTEE INTERLOCK AND INSIDER PARTICIPATION</w:t>
      </w:r>
    </w:p>
    <w:p>
      <w:pPr>
        <w:spacing w:after="0" w:line="3" w:lineRule="exact"/>
        <w:rPr>
          <w:sz w:val="20"/>
          <w:szCs w:val="20"/>
          <w:color w:val="auto"/>
        </w:rPr>
      </w:pPr>
    </w:p>
    <w:p>
      <w:pPr>
        <w:ind w:left="140" w:right="660"/>
        <w:spacing w:after="0"/>
        <w:rPr>
          <w:sz w:val="20"/>
          <w:szCs w:val="20"/>
          <w:color w:val="auto"/>
        </w:rPr>
      </w:pPr>
      <w:r>
        <w:rPr>
          <w:rFonts w:ascii="Arial" w:cs="Arial" w:eastAsia="Arial" w:hAnsi="Arial"/>
          <w:sz w:val="20"/>
          <w:szCs w:val="20"/>
          <w:color w:val="auto"/>
        </w:rPr>
        <w:t>The Compensation &amp; Human Capital Committee is composed entirely of the five independent directors listed above. No member of the Compensation &amp; Human Capital Committee is a current, or during fiscal 2024 was a former, officer or employee of the Company or any of its subsidiaries. During fiscal 2024, no member of the Compensation &amp; Human Capital Committee had a relationship that must be described under the SEC rules relating to disclosure of transactions with related persons. In fiscal 2024, none of our executive officers served on the board of directors or compensation committee of any entity that had one or more of its executive officers serving on the Board or the Compensation &amp; Human Capital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4722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472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FISCAL2024 SUMMARY COMPENSATION TABLE*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table below provides information concerning the compensation of our NEOs.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365"/>
        </w:trPr>
        <w:tc>
          <w:tcPr>
            <w:tcW w:w="2060" w:type="dxa"/>
            <w:vAlign w:val="bottom"/>
            <w:tcBorders>
              <w:right w:val="single" w:sz="8" w:color="123054"/>
            </w:tcBorders>
            <w:shd w:val="clear" w:color="auto" w:fill="123054"/>
          </w:tcPr>
          <w:p>
            <w:pPr>
              <w:spacing w:after="0"/>
              <w:rPr>
                <w:sz w:val="24"/>
                <w:szCs w:val="24"/>
                <w:color w:val="auto"/>
              </w:rPr>
            </w:pPr>
          </w:p>
        </w:tc>
        <w:tc>
          <w:tcPr>
            <w:tcW w:w="80" w:type="dxa"/>
            <w:vAlign w:val="bottom"/>
            <w:shd w:val="clear" w:color="auto" w:fill="123054"/>
          </w:tcPr>
          <w:p>
            <w:pPr>
              <w:spacing w:after="0"/>
              <w:rPr>
                <w:sz w:val="24"/>
                <w:szCs w:val="24"/>
                <w:color w:val="auto"/>
              </w:rPr>
            </w:pPr>
          </w:p>
        </w:tc>
        <w:tc>
          <w:tcPr>
            <w:tcW w:w="540" w:type="dxa"/>
            <w:vAlign w:val="bottom"/>
            <w:tcBorders>
              <w:right w:val="single" w:sz="8" w:color="123054"/>
            </w:tcBorders>
            <w:shd w:val="clear" w:color="auto" w:fill="123054"/>
          </w:tcPr>
          <w:p>
            <w:pPr>
              <w:spacing w:after="0"/>
              <w:rPr>
                <w:sz w:val="24"/>
                <w:szCs w:val="24"/>
                <w:color w:val="auto"/>
              </w:rPr>
            </w:pPr>
          </w:p>
        </w:tc>
        <w:tc>
          <w:tcPr>
            <w:tcW w:w="920" w:type="dxa"/>
            <w:vAlign w:val="bottom"/>
            <w:tcBorders>
              <w:right w:val="single" w:sz="8" w:color="123054"/>
            </w:tcBorders>
            <w:shd w:val="clear" w:color="auto" w:fill="123054"/>
          </w:tcPr>
          <w:p>
            <w:pPr>
              <w:spacing w:after="0"/>
              <w:rPr>
                <w:sz w:val="24"/>
                <w:szCs w:val="24"/>
                <w:color w:val="auto"/>
              </w:rPr>
            </w:pPr>
          </w:p>
        </w:tc>
        <w:tc>
          <w:tcPr>
            <w:tcW w:w="800" w:type="dxa"/>
            <w:vAlign w:val="bottom"/>
            <w:tcBorders>
              <w:right w:val="single" w:sz="8" w:color="123054"/>
            </w:tcBorders>
            <w:shd w:val="clear" w:color="auto" w:fill="123054"/>
          </w:tcPr>
          <w:p>
            <w:pPr>
              <w:spacing w:after="0"/>
              <w:rPr>
                <w:sz w:val="24"/>
                <w:szCs w:val="24"/>
                <w:color w:val="auto"/>
              </w:rPr>
            </w:pPr>
          </w:p>
        </w:tc>
        <w:tc>
          <w:tcPr>
            <w:tcW w:w="900" w:type="dxa"/>
            <w:vAlign w:val="bottom"/>
            <w:tcBorders>
              <w:right w:val="single" w:sz="8" w:color="123054"/>
            </w:tcBorders>
            <w:shd w:val="clear" w:color="auto" w:fill="123054"/>
          </w:tcPr>
          <w:p>
            <w:pPr>
              <w:spacing w:after="0"/>
              <w:rPr>
                <w:sz w:val="24"/>
                <w:szCs w:val="24"/>
                <w:color w:val="auto"/>
              </w:rPr>
            </w:pPr>
          </w:p>
        </w:tc>
        <w:tc>
          <w:tcPr>
            <w:tcW w:w="1260" w:type="dxa"/>
            <w:vAlign w:val="bottom"/>
            <w:gridSpan w:val="2"/>
            <w:shd w:val="clear" w:color="auto" w:fill="123054"/>
          </w:tcPr>
          <w:p>
            <w:pPr>
              <w:jc w:val="center"/>
              <w:ind w:right="40"/>
              <w:spacing w:after="0"/>
              <w:rPr>
                <w:sz w:val="20"/>
                <w:szCs w:val="20"/>
                <w:color w:val="auto"/>
              </w:rPr>
            </w:pPr>
            <w:r>
              <w:rPr>
                <w:rFonts w:ascii="Arial" w:cs="Arial" w:eastAsia="Arial" w:hAnsi="Arial"/>
                <w:sz w:val="16"/>
                <w:szCs w:val="16"/>
                <w:b w:val="1"/>
                <w:bCs w:val="1"/>
                <w:color w:val="FBFBFB"/>
              </w:rPr>
              <w:t>Non-Equity</w:t>
            </w:r>
          </w:p>
        </w:tc>
        <w:tc>
          <w:tcPr>
            <w:tcW w:w="1320" w:type="dxa"/>
            <w:vAlign w:val="bottom"/>
            <w:tcBorders>
              <w:right w:val="single" w:sz="8" w:color="123054"/>
            </w:tcBorders>
            <w:vMerge w:val="restart"/>
            <w:shd w:val="clear" w:color="auto" w:fill="123054"/>
          </w:tcPr>
          <w:p>
            <w:pPr>
              <w:jc w:val="center"/>
              <w:ind w:right="14"/>
              <w:spacing w:after="0"/>
              <w:rPr>
                <w:sz w:val="20"/>
                <w:szCs w:val="20"/>
                <w:color w:val="auto"/>
              </w:rPr>
            </w:pPr>
            <w:r>
              <w:rPr>
                <w:rFonts w:ascii="Arial" w:cs="Arial" w:eastAsia="Arial" w:hAnsi="Arial"/>
                <w:sz w:val="16"/>
                <w:szCs w:val="16"/>
                <w:b w:val="1"/>
                <w:bCs w:val="1"/>
                <w:color w:val="FBFBFB"/>
              </w:rPr>
              <w:t>All Other</w:t>
            </w:r>
          </w:p>
        </w:tc>
        <w:tc>
          <w:tcPr>
            <w:tcW w:w="88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Borders>
              <w:right w:val="single" w:sz="8" w:color="123054"/>
            </w:tcBorders>
            <w:shd w:val="clear" w:color="auto" w:fill="123054"/>
          </w:tcPr>
          <w:p>
            <w:pPr>
              <w:spacing w:after="0"/>
              <w:rPr>
                <w:sz w:val="14"/>
                <w:szCs w:val="14"/>
                <w:color w:val="auto"/>
              </w:rPr>
            </w:pPr>
          </w:p>
        </w:tc>
        <w:tc>
          <w:tcPr>
            <w:tcW w:w="80" w:type="dxa"/>
            <w:vAlign w:val="bottom"/>
            <w:shd w:val="clear" w:color="auto" w:fill="123054"/>
          </w:tcPr>
          <w:p>
            <w:pPr>
              <w:spacing w:after="0"/>
              <w:rPr>
                <w:sz w:val="14"/>
                <w:szCs w:val="14"/>
                <w:color w:val="auto"/>
              </w:rPr>
            </w:pPr>
          </w:p>
        </w:tc>
        <w:tc>
          <w:tcPr>
            <w:tcW w:w="540" w:type="dxa"/>
            <w:vAlign w:val="bottom"/>
            <w:tcBorders>
              <w:right w:val="single" w:sz="8" w:color="123054"/>
            </w:tcBorders>
            <w:shd w:val="clear" w:color="auto" w:fill="123054"/>
          </w:tcPr>
          <w:p>
            <w:pPr>
              <w:spacing w:after="0"/>
              <w:rPr>
                <w:sz w:val="14"/>
                <w:szCs w:val="14"/>
                <w:color w:val="auto"/>
              </w:rPr>
            </w:pPr>
          </w:p>
        </w:tc>
        <w:tc>
          <w:tcPr>
            <w:tcW w:w="92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Salary</w:t>
            </w:r>
          </w:p>
        </w:tc>
        <w:tc>
          <w:tcPr>
            <w:tcW w:w="800" w:type="dxa"/>
            <w:vAlign w:val="bottom"/>
            <w:tcBorders>
              <w:right w:val="single" w:sz="8" w:color="123054"/>
            </w:tcBorders>
            <w:vMerge w:val="restart"/>
            <w:shd w:val="clear" w:color="auto" w:fill="123054"/>
          </w:tcPr>
          <w:p>
            <w:pPr>
              <w:ind w:left="160"/>
              <w:spacing w:after="0"/>
              <w:rPr>
                <w:sz w:val="20"/>
                <w:szCs w:val="20"/>
                <w:color w:val="auto"/>
              </w:rPr>
            </w:pPr>
            <w:r>
              <w:rPr>
                <w:rFonts w:ascii="Arial" w:cs="Arial" w:eastAsia="Arial" w:hAnsi="Arial"/>
                <w:sz w:val="16"/>
                <w:szCs w:val="16"/>
                <w:b w:val="1"/>
                <w:bCs w:val="1"/>
                <w:color w:val="FBFBFB"/>
              </w:rPr>
              <w:t>Bonus</w:t>
            </w:r>
          </w:p>
        </w:tc>
        <w:tc>
          <w:tcPr>
            <w:tcW w:w="90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rPr>
              <w:t>Stock</w:t>
            </w:r>
          </w:p>
        </w:tc>
        <w:tc>
          <w:tcPr>
            <w:tcW w:w="1260" w:type="dxa"/>
            <w:vAlign w:val="bottom"/>
            <w:gridSpan w:val="2"/>
            <w:shd w:val="clear" w:color="auto" w:fill="123054"/>
          </w:tcPr>
          <w:p>
            <w:pPr>
              <w:jc w:val="center"/>
              <w:ind w:right="40"/>
              <w:spacing w:after="0" w:line="162" w:lineRule="exact"/>
              <w:rPr>
                <w:sz w:val="20"/>
                <w:szCs w:val="20"/>
                <w:color w:val="auto"/>
              </w:rPr>
            </w:pPr>
            <w:r>
              <w:rPr>
                <w:rFonts w:ascii="Arial" w:cs="Arial" w:eastAsia="Arial" w:hAnsi="Arial"/>
                <w:sz w:val="16"/>
                <w:szCs w:val="16"/>
                <w:b w:val="1"/>
                <w:bCs w:val="1"/>
                <w:color w:val="FBFBFB"/>
              </w:rPr>
              <w:t>Incentive Plan</w:t>
            </w:r>
          </w:p>
        </w:tc>
        <w:tc>
          <w:tcPr>
            <w:tcW w:w="1320" w:type="dxa"/>
            <w:vAlign w:val="bottom"/>
            <w:tcBorders>
              <w:right w:val="single" w:sz="8" w:color="123054"/>
            </w:tcBorders>
            <w:vMerge w:val="continue"/>
            <w:shd w:val="clear" w:color="auto" w:fill="123054"/>
          </w:tcPr>
          <w:p>
            <w:pPr>
              <w:spacing w:after="0"/>
              <w:rPr>
                <w:sz w:val="14"/>
                <w:szCs w:val="14"/>
                <w:color w:val="auto"/>
              </w:rPr>
            </w:pPr>
          </w:p>
        </w:tc>
        <w:tc>
          <w:tcPr>
            <w:tcW w:w="880" w:type="dxa"/>
            <w:vAlign w:val="bottom"/>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vMerge w:val="restart"/>
            <w:shd w:val="clear" w:color="auto" w:fill="123054"/>
          </w:tcPr>
          <w:p>
            <w:pPr>
              <w:ind w:left="20"/>
              <w:spacing w:after="0"/>
              <w:rPr>
                <w:sz w:val="20"/>
                <w:szCs w:val="20"/>
                <w:color w:val="auto"/>
              </w:rPr>
            </w:pPr>
            <w:r>
              <w:rPr>
                <w:rFonts w:ascii="Arial" w:cs="Arial" w:eastAsia="Arial" w:hAnsi="Arial"/>
                <w:sz w:val="16"/>
                <w:szCs w:val="16"/>
                <w:b w:val="1"/>
                <w:bCs w:val="1"/>
                <w:color w:val="FBFBFB"/>
              </w:rPr>
              <w:t>Name and</w:t>
            </w:r>
          </w:p>
        </w:tc>
        <w:tc>
          <w:tcPr>
            <w:tcW w:w="540" w:type="dxa"/>
            <w:vAlign w:val="bottom"/>
            <w:tcBorders>
              <w:right w:val="single" w:sz="8" w:color="123054"/>
            </w:tcBorders>
            <w:vMerge w:val="restart"/>
            <w:shd w:val="clear" w:color="auto" w:fill="123054"/>
          </w:tcPr>
          <w:p>
            <w:pPr>
              <w:jc w:val="center"/>
              <w:ind w:right="15"/>
              <w:spacing w:after="0"/>
              <w:rPr>
                <w:sz w:val="20"/>
                <w:szCs w:val="20"/>
                <w:color w:val="auto"/>
              </w:rPr>
            </w:pPr>
            <w:r>
              <w:rPr>
                <w:rFonts w:ascii="Arial" w:cs="Arial" w:eastAsia="Arial" w:hAnsi="Arial"/>
                <w:sz w:val="16"/>
                <w:szCs w:val="16"/>
                <w:b w:val="1"/>
                <w:bCs w:val="1"/>
                <w:color w:val="FBFBFB"/>
              </w:rPr>
              <w:t>Fiscal</w:t>
            </w:r>
          </w:p>
        </w:tc>
        <w:tc>
          <w:tcPr>
            <w:tcW w:w="920" w:type="dxa"/>
            <w:vAlign w:val="bottom"/>
            <w:tcBorders>
              <w:right w:val="single" w:sz="8" w:color="123054"/>
            </w:tcBorders>
            <w:vMerge w:val="continue"/>
            <w:shd w:val="clear" w:color="auto" w:fill="123054"/>
          </w:tcPr>
          <w:p>
            <w:pPr>
              <w:spacing w:after="0"/>
              <w:rPr>
                <w:sz w:val="14"/>
                <w:szCs w:val="14"/>
                <w:color w:val="auto"/>
              </w:rPr>
            </w:pPr>
          </w:p>
        </w:tc>
        <w:tc>
          <w:tcPr>
            <w:tcW w:w="800" w:type="dxa"/>
            <w:vAlign w:val="bottom"/>
            <w:tcBorders>
              <w:right w:val="single" w:sz="8" w:color="123054"/>
            </w:tcBorders>
            <w:vMerge w:val="continue"/>
            <w:shd w:val="clear" w:color="auto" w:fill="123054"/>
          </w:tcPr>
          <w:p>
            <w:pPr>
              <w:spacing w:after="0"/>
              <w:rPr>
                <w:sz w:val="14"/>
                <w:szCs w:val="14"/>
                <w:color w:val="auto"/>
              </w:rPr>
            </w:pPr>
          </w:p>
        </w:tc>
        <w:tc>
          <w:tcPr>
            <w:tcW w:w="900" w:type="dxa"/>
            <w:vAlign w:val="bottom"/>
            <w:tcBorders>
              <w:right w:val="single" w:sz="8" w:color="123054"/>
            </w:tcBorders>
            <w:vMerge w:val="continue"/>
            <w:shd w:val="clear" w:color="auto" w:fill="123054"/>
          </w:tcPr>
          <w:p>
            <w:pPr>
              <w:spacing w:after="0"/>
              <w:rPr>
                <w:sz w:val="14"/>
                <w:szCs w:val="14"/>
                <w:color w:val="auto"/>
              </w:rPr>
            </w:pPr>
          </w:p>
        </w:tc>
        <w:tc>
          <w:tcPr>
            <w:tcW w:w="1260" w:type="dxa"/>
            <w:vAlign w:val="bottom"/>
            <w:gridSpan w:val="2"/>
            <w:shd w:val="clear" w:color="auto" w:fill="123054"/>
          </w:tcPr>
          <w:p>
            <w:pPr>
              <w:jc w:val="center"/>
              <w:ind w:right="20"/>
              <w:spacing w:after="0" w:line="162" w:lineRule="exact"/>
              <w:rPr>
                <w:sz w:val="20"/>
                <w:szCs w:val="20"/>
                <w:color w:val="auto"/>
              </w:rPr>
            </w:pPr>
            <w:r>
              <w:rPr>
                <w:rFonts w:ascii="Arial" w:cs="Arial" w:eastAsia="Arial" w:hAnsi="Arial"/>
                <w:sz w:val="16"/>
                <w:szCs w:val="16"/>
                <w:b w:val="1"/>
                <w:bCs w:val="1"/>
                <w:color w:val="FBFBFB"/>
              </w:rPr>
              <w:t>Compensation</w:t>
            </w:r>
          </w:p>
        </w:tc>
        <w:tc>
          <w:tcPr>
            <w:tcW w:w="13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Compensation</w:t>
            </w:r>
          </w:p>
        </w:tc>
        <w:tc>
          <w:tcPr>
            <w:tcW w:w="880" w:type="dxa"/>
            <w:vAlign w:val="bottom"/>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Total</w:t>
            </w:r>
          </w:p>
        </w:tc>
        <w:tc>
          <w:tcPr>
            <w:tcW w:w="0" w:type="dxa"/>
            <w:vAlign w:val="bottom"/>
          </w:tcPr>
          <w:p>
            <w:pPr>
              <w:spacing w:after="0"/>
              <w:rPr>
                <w:sz w:val="1"/>
                <w:szCs w:val="1"/>
                <w:color w:val="auto"/>
              </w:rPr>
            </w:pPr>
          </w:p>
        </w:tc>
      </w:tr>
      <w:tr>
        <w:trPr>
          <w:trHeight w:val="162"/>
        </w:trPr>
        <w:tc>
          <w:tcPr>
            <w:tcW w:w="2140" w:type="dxa"/>
            <w:vAlign w:val="bottom"/>
            <w:gridSpan w:val="2"/>
            <w:vMerge w:val="continue"/>
            <w:shd w:val="clear" w:color="auto" w:fill="123054"/>
          </w:tcPr>
          <w:p>
            <w:pPr>
              <w:spacing w:after="0"/>
              <w:rPr>
                <w:sz w:val="14"/>
                <w:szCs w:val="14"/>
                <w:color w:val="auto"/>
              </w:rPr>
            </w:pPr>
          </w:p>
        </w:tc>
        <w:tc>
          <w:tcPr>
            <w:tcW w:w="540" w:type="dxa"/>
            <w:vAlign w:val="bottom"/>
            <w:tcBorders>
              <w:right w:val="single" w:sz="8" w:color="123054"/>
            </w:tcBorders>
            <w:vMerge w:val="continue"/>
            <w:shd w:val="clear" w:color="auto" w:fill="123054"/>
          </w:tcPr>
          <w:p>
            <w:pPr>
              <w:spacing w:after="0"/>
              <w:rPr>
                <w:sz w:val="14"/>
                <w:szCs w:val="14"/>
                <w:color w:val="auto"/>
              </w:rPr>
            </w:pPr>
          </w:p>
        </w:tc>
        <w:tc>
          <w:tcPr>
            <w:tcW w:w="9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1"/>
              </w:rPr>
              <w:t>($)</w:t>
            </w:r>
          </w:p>
        </w:tc>
        <w:tc>
          <w:tcPr>
            <w:tcW w:w="800" w:type="dxa"/>
            <w:vAlign w:val="bottom"/>
            <w:tcBorders>
              <w:right w:val="single" w:sz="8" w:color="123054"/>
            </w:tcBorders>
            <w:shd w:val="clear" w:color="auto" w:fill="123054"/>
          </w:tcPr>
          <w:p>
            <w:pPr>
              <w:ind w:left="300"/>
              <w:spacing w:after="0" w:line="162" w:lineRule="exact"/>
              <w:rPr>
                <w:sz w:val="20"/>
                <w:szCs w:val="20"/>
                <w:color w:val="auto"/>
              </w:rPr>
            </w:pPr>
            <w:r>
              <w:rPr>
                <w:rFonts w:ascii="Arial" w:cs="Arial" w:eastAsia="Arial" w:hAnsi="Arial"/>
                <w:sz w:val="16"/>
                <w:szCs w:val="16"/>
                <w:b w:val="1"/>
                <w:bCs w:val="1"/>
                <w:color w:val="FBFBFB"/>
              </w:rPr>
              <w:t>($)</w:t>
            </w:r>
          </w:p>
        </w:tc>
        <w:tc>
          <w:tcPr>
            <w:tcW w:w="90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Awards ($)</w:t>
            </w:r>
          </w:p>
        </w:tc>
        <w:tc>
          <w:tcPr>
            <w:tcW w:w="1180" w:type="dxa"/>
            <w:vAlign w:val="bottom"/>
            <w:tcBorders>
              <w:right w:val="single" w:sz="8" w:color="123054"/>
            </w:tcBorders>
            <w:shd w:val="clear" w:color="auto" w:fill="123054"/>
          </w:tcPr>
          <w:p>
            <w:pPr>
              <w:ind w:left="480"/>
              <w:spacing w:after="0" w:line="162" w:lineRule="exact"/>
              <w:rPr>
                <w:sz w:val="20"/>
                <w:szCs w:val="20"/>
                <w:color w:val="auto"/>
              </w:rPr>
            </w:pPr>
            <w:r>
              <w:rPr>
                <w:rFonts w:ascii="Arial" w:cs="Arial" w:eastAsia="Arial" w:hAnsi="Arial"/>
                <w:sz w:val="16"/>
                <w:szCs w:val="16"/>
                <w:b w:val="1"/>
                <w:bCs w:val="1"/>
                <w:color w:val="FBFBFB"/>
              </w:rPr>
              <w:t>($)</w:t>
            </w:r>
          </w:p>
        </w:tc>
        <w:tc>
          <w:tcPr>
            <w:tcW w:w="80" w:type="dxa"/>
            <w:vAlign w:val="bottom"/>
            <w:shd w:val="clear" w:color="auto" w:fill="123054"/>
          </w:tcPr>
          <w:p>
            <w:pPr>
              <w:spacing w:after="0"/>
              <w:rPr>
                <w:sz w:val="14"/>
                <w:szCs w:val="14"/>
                <w:color w:val="auto"/>
              </w:rPr>
            </w:pPr>
          </w:p>
        </w:tc>
        <w:tc>
          <w:tcPr>
            <w:tcW w:w="1320" w:type="dxa"/>
            <w:vAlign w:val="bottom"/>
            <w:tcBorders>
              <w:right w:val="single" w:sz="8" w:color="123054"/>
            </w:tcBorders>
            <w:shd w:val="clear" w:color="auto" w:fill="123054"/>
          </w:tcPr>
          <w:p>
            <w:pPr>
              <w:ind w:left="500"/>
              <w:spacing w:after="0" w:line="162" w:lineRule="exact"/>
              <w:rPr>
                <w:sz w:val="20"/>
                <w:szCs w:val="20"/>
                <w:color w:val="auto"/>
              </w:rPr>
            </w:pPr>
            <w:r>
              <w:rPr>
                <w:rFonts w:ascii="Arial" w:cs="Arial" w:eastAsia="Arial" w:hAnsi="Arial"/>
                <w:sz w:val="16"/>
                <w:szCs w:val="16"/>
                <w:b w:val="1"/>
                <w:bCs w:val="1"/>
                <w:color w:val="FBFBFB"/>
              </w:rPr>
              <w:t>($)</w:t>
            </w:r>
          </w:p>
        </w:tc>
        <w:tc>
          <w:tcPr>
            <w:tcW w:w="880" w:type="dxa"/>
            <w:vAlign w:val="bottom"/>
            <w:vMerge w:val="continue"/>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123054"/>
          </w:tcPr>
          <w:p>
            <w:pPr>
              <w:ind w:left="20"/>
              <w:spacing w:after="0"/>
              <w:rPr>
                <w:sz w:val="20"/>
                <w:szCs w:val="20"/>
                <w:color w:val="auto"/>
              </w:rPr>
            </w:pPr>
            <w:r>
              <w:rPr>
                <w:rFonts w:ascii="Arial" w:cs="Arial" w:eastAsia="Arial" w:hAnsi="Arial"/>
                <w:sz w:val="16"/>
                <w:szCs w:val="16"/>
                <w:b w:val="1"/>
                <w:bCs w:val="1"/>
                <w:color w:val="FBFBFB"/>
              </w:rPr>
              <w:t>Principal Position</w:t>
            </w:r>
          </w:p>
        </w:tc>
        <w:tc>
          <w:tcPr>
            <w:tcW w:w="540" w:type="dxa"/>
            <w:vAlign w:val="bottom"/>
            <w:tcBorders>
              <w:right w:val="single" w:sz="8" w:color="123054"/>
            </w:tcBorders>
            <w:shd w:val="clear" w:color="auto" w:fill="123054"/>
          </w:tcPr>
          <w:p>
            <w:pPr>
              <w:jc w:val="center"/>
              <w:ind w:right="15"/>
              <w:spacing w:after="0"/>
              <w:rPr>
                <w:sz w:val="20"/>
                <w:szCs w:val="20"/>
                <w:color w:val="auto"/>
              </w:rPr>
            </w:pPr>
            <w:r>
              <w:rPr>
                <w:rFonts w:ascii="Arial" w:cs="Arial" w:eastAsia="Arial" w:hAnsi="Arial"/>
                <w:sz w:val="16"/>
                <w:szCs w:val="16"/>
                <w:b w:val="1"/>
                <w:bCs w:val="1"/>
                <w:color w:val="FBFBFB"/>
                <w:w w:val="97"/>
              </w:rPr>
              <w:t>Year</w:t>
            </w:r>
          </w:p>
        </w:tc>
        <w:tc>
          <w:tcPr>
            <w:tcW w:w="9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1"/>
              </w:rPr>
              <w:t>(a)</w:t>
            </w:r>
          </w:p>
        </w:tc>
        <w:tc>
          <w:tcPr>
            <w:tcW w:w="800" w:type="dxa"/>
            <w:vAlign w:val="bottom"/>
            <w:tcBorders>
              <w:right w:val="single" w:sz="8" w:color="123054"/>
            </w:tcBorders>
            <w:shd w:val="clear" w:color="auto" w:fill="123054"/>
          </w:tcPr>
          <w:p>
            <w:pPr>
              <w:ind w:left="300"/>
              <w:spacing w:after="0"/>
              <w:rPr>
                <w:sz w:val="20"/>
                <w:szCs w:val="20"/>
                <w:color w:val="auto"/>
              </w:rPr>
            </w:pPr>
            <w:r>
              <w:rPr>
                <w:rFonts w:ascii="Arial" w:cs="Arial" w:eastAsia="Arial" w:hAnsi="Arial"/>
                <w:sz w:val="16"/>
                <w:szCs w:val="16"/>
                <w:b w:val="1"/>
                <w:bCs w:val="1"/>
                <w:color w:val="FBFBFB"/>
              </w:rPr>
              <w:t>(b)</w:t>
            </w:r>
          </w:p>
        </w:tc>
        <w:tc>
          <w:tcPr>
            <w:tcW w:w="9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(c)</w:t>
            </w:r>
          </w:p>
        </w:tc>
        <w:tc>
          <w:tcPr>
            <w:tcW w:w="1260" w:type="dxa"/>
            <w:vAlign w:val="bottom"/>
            <w:gridSpan w:val="2"/>
            <w:shd w:val="clear" w:color="auto" w:fill="123054"/>
          </w:tcPr>
          <w:p>
            <w:pPr>
              <w:ind w:left="480"/>
              <w:spacing w:after="0"/>
              <w:rPr>
                <w:sz w:val="20"/>
                <w:szCs w:val="20"/>
                <w:color w:val="auto"/>
              </w:rPr>
            </w:pPr>
            <w:r>
              <w:rPr>
                <w:rFonts w:ascii="Arial" w:cs="Arial" w:eastAsia="Arial" w:hAnsi="Arial"/>
                <w:sz w:val="16"/>
                <w:szCs w:val="16"/>
                <w:b w:val="1"/>
                <w:bCs w:val="1"/>
                <w:color w:val="FBFBFB"/>
              </w:rPr>
              <w:t>(d)</w:t>
            </w:r>
          </w:p>
        </w:tc>
        <w:tc>
          <w:tcPr>
            <w:tcW w:w="1320" w:type="dxa"/>
            <w:vAlign w:val="bottom"/>
            <w:tcBorders>
              <w:right w:val="single" w:sz="8" w:color="123054"/>
            </w:tcBorders>
            <w:shd w:val="clear" w:color="auto" w:fill="123054"/>
          </w:tcPr>
          <w:p>
            <w:pPr>
              <w:ind w:left="500"/>
              <w:spacing w:after="0"/>
              <w:rPr>
                <w:sz w:val="20"/>
                <w:szCs w:val="20"/>
                <w:color w:val="auto"/>
              </w:rPr>
            </w:pPr>
            <w:r>
              <w:rPr>
                <w:rFonts w:ascii="Arial" w:cs="Arial" w:eastAsia="Arial" w:hAnsi="Arial"/>
                <w:sz w:val="16"/>
                <w:szCs w:val="16"/>
                <w:b w:val="1"/>
                <w:bCs w:val="1"/>
                <w:color w:val="FBFBFB"/>
              </w:rPr>
              <w:t>(e)</w:t>
            </w:r>
          </w:p>
        </w:tc>
        <w:tc>
          <w:tcPr>
            <w:tcW w:w="880" w:type="dxa"/>
            <w:vAlign w:val="bottom"/>
            <w:shd w:val="clear" w:color="auto" w:fill="123054"/>
          </w:tcPr>
          <w:p>
            <w:pPr>
              <w:jc w:val="right"/>
              <w:ind w:right="295"/>
              <w:spacing w:after="0"/>
              <w:rPr>
                <w:sz w:val="20"/>
                <w:szCs w:val="20"/>
                <w:color w:val="auto"/>
              </w:rPr>
            </w:pPr>
            <w:r>
              <w:rPr>
                <w:rFonts w:ascii="Arial" w:cs="Arial" w:eastAsia="Arial" w:hAnsi="Arial"/>
                <w:sz w:val="16"/>
                <w:szCs w:val="16"/>
                <w:b w:val="1"/>
                <w:bCs w:val="1"/>
                <w:color w:val="FBFBFB"/>
              </w:rPr>
              <w:t>($)</w:t>
            </w:r>
          </w:p>
        </w:tc>
        <w:tc>
          <w:tcPr>
            <w:tcW w:w="0" w:type="dxa"/>
            <w:vAlign w:val="bottom"/>
          </w:tcPr>
          <w:p>
            <w:pPr>
              <w:spacing w:after="0"/>
              <w:rPr>
                <w:sz w:val="1"/>
                <w:szCs w:val="1"/>
                <w:color w:val="auto"/>
              </w:rPr>
            </w:pPr>
          </w:p>
        </w:tc>
      </w:tr>
      <w:tr>
        <w:trPr>
          <w:trHeight w:val="181"/>
        </w:trPr>
        <w:tc>
          <w:tcPr>
            <w:tcW w:w="2060" w:type="dxa"/>
            <w:vAlign w:val="bottom"/>
            <w:tcBorders>
              <w:right w:val="single" w:sz="8" w:color="123054"/>
            </w:tcBorders>
          </w:tcPr>
          <w:p>
            <w:pPr>
              <w:ind w:left="60"/>
              <w:spacing w:after="0"/>
              <w:rPr>
                <w:sz w:val="20"/>
                <w:szCs w:val="20"/>
                <w:color w:val="auto"/>
              </w:rPr>
            </w:pPr>
            <w:r>
              <w:rPr>
                <w:rFonts w:ascii="Arial" w:cs="Arial" w:eastAsia="Arial" w:hAnsi="Arial"/>
                <w:sz w:val="13"/>
                <w:szCs w:val="13"/>
                <w:b w:val="1"/>
                <w:bCs w:val="1"/>
                <w:color w:val="auto"/>
              </w:rPr>
              <w:t>Richard F. Westenberger</w:t>
            </w:r>
          </w:p>
        </w:tc>
        <w:tc>
          <w:tcPr>
            <w:tcW w:w="80" w:type="dxa"/>
            <w:vAlign w:val="bottom"/>
          </w:tcPr>
          <w:p>
            <w:pPr>
              <w:spacing w:after="0"/>
              <w:rPr>
                <w:sz w:val="15"/>
                <w:szCs w:val="15"/>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$763,462</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$1,609,960</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$33,000</w:t>
            </w:r>
          </w:p>
        </w:tc>
        <w:tc>
          <w:tcPr>
            <w:tcW w:w="80" w:type="dxa"/>
            <w:vAlign w:val="bottom"/>
          </w:tcPr>
          <w:p>
            <w:pPr>
              <w:spacing w:after="0"/>
              <w:rPr>
                <w:sz w:val="15"/>
                <w:szCs w:val="15"/>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$176,496</w:t>
            </w: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$2,582,918</w:t>
            </w:r>
          </w:p>
        </w:tc>
        <w:tc>
          <w:tcPr>
            <w:tcW w:w="0" w:type="dxa"/>
            <w:vAlign w:val="bottom"/>
          </w:tcPr>
          <w:p>
            <w:pPr>
              <w:spacing w:after="0"/>
              <w:rPr>
                <w:sz w:val="1"/>
                <w:szCs w:val="1"/>
                <w:color w:val="auto"/>
              </w:rPr>
            </w:pPr>
          </w:p>
        </w:tc>
      </w:tr>
      <w:tr>
        <w:trPr>
          <w:trHeight w:val="196"/>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w w:val="98"/>
              </w:rPr>
              <w:t>Senior Executive Vice President,</w:t>
            </w:r>
          </w:p>
        </w:tc>
        <w:tc>
          <w:tcPr>
            <w:tcW w:w="80" w:type="dxa"/>
            <w:vAlign w:val="bottom"/>
          </w:tcPr>
          <w:p>
            <w:pPr>
              <w:spacing w:after="0"/>
              <w:rPr>
                <w:sz w:val="17"/>
                <w:szCs w:val="17"/>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$704,615</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$1,550,520</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$471,900</w:t>
            </w:r>
          </w:p>
        </w:tc>
        <w:tc>
          <w:tcPr>
            <w:tcW w:w="80" w:type="dxa"/>
            <w:vAlign w:val="bottom"/>
          </w:tcPr>
          <w:p>
            <w:pPr>
              <w:spacing w:after="0"/>
              <w:rPr>
                <w:sz w:val="17"/>
                <w:szCs w:val="17"/>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$169,734</w:t>
            </w: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$2,896,769</w:t>
            </w:r>
          </w:p>
        </w:tc>
        <w:tc>
          <w:tcPr>
            <w:tcW w:w="0" w:type="dxa"/>
            <w:vAlign w:val="bottom"/>
          </w:tcPr>
          <w:p>
            <w:pPr>
              <w:spacing w:after="0"/>
              <w:rPr>
                <w:sz w:val="1"/>
                <w:szCs w:val="1"/>
                <w:color w:val="auto"/>
              </w:rPr>
            </w:pPr>
          </w:p>
        </w:tc>
      </w:tr>
      <w:tr>
        <w:trPr>
          <w:trHeight w:val="185"/>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Chief Financial Officer &amp; Chief</w:t>
            </w:r>
          </w:p>
        </w:tc>
        <w:tc>
          <w:tcPr>
            <w:tcW w:w="80" w:type="dxa"/>
            <w:vAlign w:val="bottom"/>
          </w:tcPr>
          <w:p>
            <w:pPr>
              <w:spacing w:after="0"/>
              <w:rPr>
                <w:sz w:val="16"/>
                <w:szCs w:val="16"/>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$674,615</w:t>
            </w:r>
          </w:p>
        </w:tc>
        <w:tc>
          <w:tcPr>
            <w:tcW w:w="80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$128,500</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$1,250,166</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tcPr>
          <w:p>
            <w:pPr>
              <w:spacing w:after="0"/>
              <w:rPr>
                <w:sz w:val="16"/>
                <w:szCs w:val="16"/>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$125,585</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w w:val="99"/>
              </w:rPr>
              <w:t>Operating Officer, former Interim</w:t>
            </w:r>
          </w:p>
        </w:tc>
        <w:tc>
          <w:tcPr>
            <w:tcW w:w="80" w:type="dxa"/>
            <w:vAlign w:val="bottom"/>
          </w:tcPr>
          <w:p>
            <w:pPr>
              <w:spacing w:after="0"/>
              <w:rPr>
                <w:sz w:val="12"/>
                <w:szCs w:val="12"/>
                <w:color w:val="auto"/>
              </w:rPr>
            </w:pPr>
          </w:p>
        </w:tc>
        <w:tc>
          <w:tcPr>
            <w:tcW w:w="540" w:type="dxa"/>
            <w:vAlign w:val="bottom"/>
            <w:tcBorders>
              <w:right w:val="single" w:sz="8" w:color="123054"/>
            </w:tcBorders>
          </w:tcPr>
          <w:p>
            <w:pPr>
              <w:spacing w:after="0"/>
              <w:rPr>
                <w:sz w:val="12"/>
                <w:szCs w:val="12"/>
                <w:color w:val="auto"/>
              </w:rPr>
            </w:pPr>
          </w:p>
        </w:tc>
        <w:tc>
          <w:tcPr>
            <w:tcW w:w="920" w:type="dxa"/>
            <w:vAlign w:val="bottom"/>
            <w:tcBorders>
              <w:right w:val="single" w:sz="8" w:color="123054"/>
            </w:tcBorders>
          </w:tcPr>
          <w:p>
            <w:pPr>
              <w:spacing w:after="0"/>
              <w:rPr>
                <w:sz w:val="12"/>
                <w:szCs w:val="12"/>
                <w:color w:val="auto"/>
              </w:rPr>
            </w:pPr>
          </w:p>
        </w:tc>
        <w:tc>
          <w:tcPr>
            <w:tcW w:w="800" w:type="dxa"/>
            <w:vAlign w:val="bottom"/>
            <w:tcBorders>
              <w:right w:val="single" w:sz="8" w:color="123054"/>
            </w:tcBorders>
          </w:tcPr>
          <w:p>
            <w:pPr>
              <w:spacing w:after="0"/>
              <w:rPr>
                <w:sz w:val="12"/>
                <w:szCs w:val="12"/>
                <w:color w:val="auto"/>
              </w:rPr>
            </w:pPr>
          </w:p>
        </w:tc>
        <w:tc>
          <w:tcPr>
            <w:tcW w:w="900" w:type="dxa"/>
            <w:vAlign w:val="bottom"/>
            <w:tcBorders>
              <w:right w:val="single" w:sz="8" w:color="123054"/>
            </w:tcBorders>
          </w:tcPr>
          <w:p>
            <w:pPr>
              <w:spacing w:after="0"/>
              <w:rPr>
                <w:sz w:val="12"/>
                <w:szCs w:val="12"/>
                <w:color w:val="auto"/>
              </w:rPr>
            </w:pPr>
          </w:p>
        </w:tc>
        <w:tc>
          <w:tcPr>
            <w:tcW w:w="1180" w:type="dxa"/>
            <w:vAlign w:val="bottom"/>
            <w:tcBorders>
              <w:right w:val="single" w:sz="8" w:color="123054"/>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123054"/>
            </w:tcBorders>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Chief Executive Officer</w:t>
            </w:r>
          </w:p>
        </w:tc>
        <w:tc>
          <w:tcPr>
            <w:tcW w:w="80" w:type="dxa"/>
            <w:vAlign w:val="bottom"/>
          </w:tcPr>
          <w:p>
            <w:pPr>
              <w:spacing w:after="0"/>
              <w:rPr>
                <w:sz w:val="17"/>
                <w:szCs w:val="17"/>
                <w:color w:val="auto"/>
              </w:rPr>
            </w:pPr>
          </w:p>
        </w:tc>
        <w:tc>
          <w:tcPr>
            <w:tcW w:w="540" w:type="dxa"/>
            <w:vAlign w:val="bottom"/>
            <w:tcBorders>
              <w:right w:val="single" w:sz="8" w:color="123054"/>
            </w:tcBorders>
          </w:tcPr>
          <w:p>
            <w:pPr>
              <w:spacing w:after="0"/>
              <w:rPr>
                <w:sz w:val="17"/>
                <w:szCs w:val="17"/>
                <w:color w:val="auto"/>
              </w:rPr>
            </w:pPr>
          </w:p>
        </w:tc>
        <w:tc>
          <w:tcPr>
            <w:tcW w:w="920" w:type="dxa"/>
            <w:vAlign w:val="bottom"/>
            <w:tcBorders>
              <w:right w:val="single" w:sz="8" w:color="123054"/>
            </w:tcBorders>
          </w:tcPr>
          <w:p>
            <w:pPr>
              <w:spacing w:after="0"/>
              <w:rPr>
                <w:sz w:val="17"/>
                <w:szCs w:val="17"/>
                <w:color w:val="auto"/>
              </w:rPr>
            </w:pPr>
          </w:p>
        </w:tc>
        <w:tc>
          <w:tcPr>
            <w:tcW w:w="800" w:type="dxa"/>
            <w:vAlign w:val="bottom"/>
            <w:tcBorders>
              <w:right w:val="single" w:sz="8" w:color="123054"/>
            </w:tcBorders>
          </w:tcPr>
          <w:p>
            <w:pPr>
              <w:spacing w:after="0"/>
              <w:rPr>
                <w:sz w:val="17"/>
                <w:szCs w:val="17"/>
                <w:color w:val="auto"/>
              </w:rPr>
            </w:pPr>
          </w:p>
        </w:tc>
        <w:tc>
          <w:tcPr>
            <w:tcW w:w="900" w:type="dxa"/>
            <w:vAlign w:val="bottom"/>
            <w:tcBorders>
              <w:right w:val="single" w:sz="8" w:color="123054"/>
            </w:tcBorders>
          </w:tcPr>
          <w:p>
            <w:pPr>
              <w:spacing w:after="0"/>
              <w:rPr>
                <w:sz w:val="17"/>
                <w:szCs w:val="17"/>
                <w:color w:val="auto"/>
              </w:rPr>
            </w:pPr>
          </w:p>
        </w:tc>
        <w:tc>
          <w:tcPr>
            <w:tcW w:w="1180" w:type="dxa"/>
            <w:vAlign w:val="bottom"/>
            <w:tcBorders>
              <w:right w:val="single" w:sz="8" w:color="123054"/>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right w:val="single" w:sz="8" w:color="123054"/>
            </w:tcBorders>
          </w:tcPr>
          <w:p>
            <w:pPr>
              <w:spacing w:after="0"/>
              <w:rPr>
                <w:sz w:val="17"/>
                <w:szCs w:val="17"/>
                <w:color w:val="auto"/>
              </w:rPr>
            </w:pP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$2,178,866</w:t>
            </w:r>
          </w:p>
        </w:tc>
        <w:tc>
          <w:tcPr>
            <w:tcW w:w="0" w:type="dxa"/>
            <w:vAlign w:val="bottom"/>
          </w:tcPr>
          <w:p>
            <w:pPr>
              <w:spacing w:after="0"/>
              <w:rPr>
                <w:sz w:val="1"/>
                <w:szCs w:val="1"/>
                <w:color w:val="auto"/>
              </w:rPr>
            </w:pPr>
          </w:p>
        </w:tc>
      </w:tr>
      <w:tr>
        <w:trPr>
          <w:trHeight w:val="202"/>
        </w:trPr>
        <w:tc>
          <w:tcPr>
            <w:tcW w:w="20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b w:val="1"/>
                <w:bCs w:val="1"/>
                <w:color w:val="auto"/>
              </w:rPr>
              <w:t>Kendra D. Krugman</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$760,577</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$1,609,960</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$33,000</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$180,810</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$2,584,347</w:t>
            </w:r>
          </w:p>
        </w:tc>
        <w:tc>
          <w:tcPr>
            <w:tcW w:w="0" w:type="dxa"/>
            <w:vAlign w:val="bottom"/>
          </w:tcPr>
          <w:p>
            <w:pPr>
              <w:spacing w:after="0"/>
              <w:rPr>
                <w:sz w:val="1"/>
                <w:szCs w:val="1"/>
                <w:color w:val="auto"/>
              </w:rPr>
            </w:pPr>
          </w:p>
        </w:tc>
      </w:tr>
      <w:tr>
        <w:trPr>
          <w:trHeight w:val="196"/>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w w:val="98"/>
              </w:rPr>
              <w:t>Senior Executive Vice President,</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$683,846</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$1,800,489</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$462,000</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$149,459</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$3,095,794</w:t>
            </w:r>
          </w:p>
        </w:tc>
        <w:tc>
          <w:tcPr>
            <w:tcW w:w="0" w:type="dxa"/>
            <w:vAlign w:val="bottom"/>
          </w:tcPr>
          <w:p>
            <w:pPr>
              <w:spacing w:after="0"/>
              <w:rPr>
                <w:sz w:val="1"/>
                <w:szCs w:val="1"/>
                <w:color w:val="auto"/>
              </w:rPr>
            </w:pPr>
          </w:p>
        </w:tc>
      </w:tr>
      <w:tr>
        <w:trPr>
          <w:trHeight w:val="216"/>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Chief Creative &amp; Growth Officer</w:t>
            </w:r>
          </w:p>
        </w:tc>
        <w:tc>
          <w:tcPr>
            <w:tcW w:w="80" w:type="dxa"/>
            <w:vAlign w:val="bottom"/>
            <w:shd w:val="clear" w:color="auto" w:fill="DBDBDB"/>
          </w:tcPr>
          <w:p>
            <w:pPr>
              <w:spacing w:after="0"/>
              <w:rPr>
                <w:sz w:val="18"/>
                <w:szCs w:val="18"/>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$609,231</w:t>
            </w:r>
          </w:p>
        </w:tc>
        <w:tc>
          <w:tcPr>
            <w:tcW w:w="80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$118,200</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$1,000,862</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DBDBDB"/>
          </w:tcPr>
          <w:p>
            <w:pPr>
              <w:spacing w:after="0"/>
              <w:rPr>
                <w:sz w:val="18"/>
                <w:szCs w:val="18"/>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$97,229</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$1,825,522</w:t>
            </w:r>
          </w:p>
        </w:tc>
        <w:tc>
          <w:tcPr>
            <w:tcW w:w="0" w:type="dxa"/>
            <w:vAlign w:val="bottom"/>
          </w:tcPr>
          <w:p>
            <w:pPr>
              <w:spacing w:after="0"/>
              <w:rPr>
                <w:sz w:val="1"/>
                <w:szCs w:val="1"/>
                <w:color w:val="auto"/>
              </w:rPr>
            </w:pPr>
          </w:p>
        </w:tc>
      </w:tr>
      <w:tr>
        <w:trPr>
          <w:trHeight w:val="195"/>
        </w:trPr>
        <w:tc>
          <w:tcPr>
            <w:tcW w:w="2060" w:type="dxa"/>
            <w:vAlign w:val="bottom"/>
            <w:tcBorders>
              <w:right w:val="single" w:sz="8" w:color="123054"/>
            </w:tcBorders>
          </w:tcPr>
          <w:p>
            <w:pPr>
              <w:ind w:left="60"/>
              <w:spacing w:after="0"/>
              <w:rPr>
                <w:sz w:val="20"/>
                <w:szCs w:val="20"/>
                <w:color w:val="auto"/>
              </w:rPr>
            </w:pPr>
            <w:r>
              <w:rPr>
                <w:rFonts w:ascii="Arial" w:cs="Arial" w:eastAsia="Arial" w:hAnsi="Arial"/>
                <w:sz w:val="13"/>
                <w:szCs w:val="13"/>
                <w:b w:val="1"/>
                <w:bCs w:val="1"/>
                <w:color w:val="auto"/>
              </w:rPr>
              <w:t>Allison M. Peterson</w:t>
            </w:r>
          </w:p>
        </w:tc>
        <w:tc>
          <w:tcPr>
            <w:tcW w:w="80" w:type="dxa"/>
            <w:vAlign w:val="bottom"/>
          </w:tcPr>
          <w:p>
            <w:pPr>
              <w:spacing w:after="0"/>
              <w:rPr>
                <w:sz w:val="16"/>
                <w:szCs w:val="16"/>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$346,154</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$2,500,190</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$13,700</w:t>
            </w:r>
          </w:p>
        </w:tc>
        <w:tc>
          <w:tcPr>
            <w:tcW w:w="80" w:type="dxa"/>
            <w:vAlign w:val="bottom"/>
          </w:tcPr>
          <w:p>
            <w:pPr>
              <w:spacing w:after="0"/>
              <w:rPr>
                <w:sz w:val="16"/>
                <w:szCs w:val="16"/>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$224,104</w:t>
            </w: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$3,084,148</w:t>
            </w:r>
          </w:p>
        </w:tc>
        <w:tc>
          <w:tcPr>
            <w:tcW w:w="0" w:type="dxa"/>
            <w:vAlign w:val="bottom"/>
          </w:tcPr>
          <w:p>
            <w:pPr>
              <w:spacing w:after="0"/>
              <w:rPr>
                <w:sz w:val="1"/>
                <w:szCs w:val="1"/>
                <w:color w:val="auto"/>
              </w:rPr>
            </w:pPr>
          </w:p>
        </w:tc>
      </w:tr>
      <w:tr>
        <w:trPr>
          <w:trHeight w:val="196"/>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17"/>
                <w:szCs w:val="17"/>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tcPr>
          <w:p>
            <w:pPr>
              <w:spacing w:after="0"/>
              <w:rPr>
                <w:sz w:val="17"/>
                <w:szCs w:val="17"/>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209"/>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Chief Retail &amp; Digital Officer</w:t>
            </w:r>
          </w:p>
        </w:tc>
        <w:tc>
          <w:tcPr>
            <w:tcW w:w="80" w:type="dxa"/>
            <w:vAlign w:val="bottom"/>
          </w:tcPr>
          <w:p>
            <w:pPr>
              <w:spacing w:after="0"/>
              <w:rPr>
                <w:sz w:val="18"/>
                <w:szCs w:val="18"/>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tcPr>
          <w:p>
            <w:pPr>
              <w:spacing w:after="0"/>
              <w:rPr>
                <w:sz w:val="18"/>
                <w:szCs w:val="18"/>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202"/>
        </w:trPr>
        <w:tc>
          <w:tcPr>
            <w:tcW w:w="20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b w:val="1"/>
                <w:bCs w:val="1"/>
                <w:color w:val="auto"/>
              </w:rPr>
              <w:t>Raghu R. Sagi</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$392,308</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$1,000,120</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$15,300</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$43,479</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$1,451,207</w:t>
            </w:r>
          </w:p>
        </w:tc>
        <w:tc>
          <w:tcPr>
            <w:tcW w:w="0" w:type="dxa"/>
            <w:vAlign w:val="bottom"/>
          </w:tcPr>
          <w:p>
            <w:pPr>
              <w:spacing w:after="0"/>
              <w:rPr>
                <w:sz w:val="1"/>
                <w:szCs w:val="1"/>
                <w:color w:val="auto"/>
              </w:rPr>
            </w:pPr>
          </w:p>
        </w:tc>
      </w:tr>
      <w:tr>
        <w:trPr>
          <w:trHeight w:val="196"/>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Executive Vice President,</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8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85"/>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Chief Information &amp; Technology</w:t>
            </w:r>
          </w:p>
        </w:tc>
        <w:tc>
          <w:tcPr>
            <w:tcW w:w="80" w:type="dxa"/>
            <w:vAlign w:val="bottom"/>
            <w:shd w:val="clear" w:color="auto" w:fill="DBDBDB"/>
          </w:tcPr>
          <w:p>
            <w:pPr>
              <w:spacing w:after="0"/>
              <w:rPr>
                <w:sz w:val="16"/>
                <w:szCs w:val="16"/>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DBDBDB"/>
          </w:tcPr>
          <w:p>
            <w:pPr>
              <w:spacing w:after="0"/>
              <w:rPr>
                <w:sz w:val="16"/>
                <w:szCs w:val="16"/>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Officer</w:t>
            </w:r>
          </w:p>
        </w:tc>
        <w:tc>
          <w:tcPr>
            <w:tcW w:w="80" w:type="dxa"/>
            <w:vAlign w:val="bottom"/>
            <w:shd w:val="clear" w:color="auto" w:fill="DBDBDB"/>
          </w:tcPr>
          <w:p>
            <w:pPr>
              <w:spacing w:after="0"/>
              <w:rPr>
                <w:sz w:val="16"/>
                <w:szCs w:val="16"/>
                <w:color w:val="auto"/>
              </w:rPr>
            </w:pPr>
          </w:p>
        </w:tc>
        <w:tc>
          <w:tcPr>
            <w:tcW w:w="540" w:type="dxa"/>
            <w:vAlign w:val="bottom"/>
            <w:tcBorders>
              <w:right w:val="single" w:sz="8" w:color="123054"/>
            </w:tcBorders>
            <w:shd w:val="clear" w:color="auto" w:fill="DBDBDB"/>
          </w:tcPr>
          <w:p>
            <w:pPr>
              <w:spacing w:after="0"/>
              <w:rPr>
                <w:sz w:val="16"/>
                <w:szCs w:val="16"/>
                <w:color w:val="auto"/>
              </w:rPr>
            </w:pPr>
          </w:p>
        </w:tc>
        <w:tc>
          <w:tcPr>
            <w:tcW w:w="920" w:type="dxa"/>
            <w:vAlign w:val="bottom"/>
            <w:tcBorders>
              <w:right w:val="single" w:sz="8" w:color="123054"/>
            </w:tcBorders>
            <w:shd w:val="clear" w:color="auto" w:fill="DBDBDB"/>
          </w:tcPr>
          <w:p>
            <w:pPr>
              <w:spacing w:after="0"/>
              <w:rPr>
                <w:sz w:val="16"/>
                <w:szCs w:val="16"/>
                <w:color w:val="auto"/>
              </w:rPr>
            </w:pPr>
          </w:p>
        </w:tc>
        <w:tc>
          <w:tcPr>
            <w:tcW w:w="800" w:type="dxa"/>
            <w:vAlign w:val="bottom"/>
            <w:tcBorders>
              <w:right w:val="single" w:sz="8" w:color="123054"/>
            </w:tcBorders>
            <w:shd w:val="clear" w:color="auto" w:fill="DBDBDB"/>
          </w:tcPr>
          <w:p>
            <w:pPr>
              <w:spacing w:after="0"/>
              <w:rPr>
                <w:sz w:val="16"/>
                <w:szCs w:val="16"/>
                <w:color w:val="auto"/>
              </w:rPr>
            </w:pPr>
          </w:p>
        </w:tc>
        <w:tc>
          <w:tcPr>
            <w:tcW w:w="900" w:type="dxa"/>
            <w:vAlign w:val="bottom"/>
            <w:tcBorders>
              <w:right w:val="single" w:sz="8" w:color="123054"/>
            </w:tcBorders>
            <w:shd w:val="clear" w:color="auto" w:fill="DBDBDB"/>
          </w:tcPr>
          <w:p>
            <w:pPr>
              <w:spacing w:after="0"/>
              <w:rPr>
                <w:sz w:val="16"/>
                <w:szCs w:val="16"/>
                <w:color w:val="auto"/>
              </w:rPr>
            </w:pPr>
          </w:p>
        </w:tc>
        <w:tc>
          <w:tcPr>
            <w:tcW w:w="1180" w:type="dxa"/>
            <w:vAlign w:val="bottom"/>
            <w:tcBorders>
              <w:right w:val="single" w:sz="8" w:color="123054"/>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20" w:type="dxa"/>
            <w:vAlign w:val="bottom"/>
            <w:tcBorders>
              <w:right w:val="single" w:sz="8" w:color="123054"/>
            </w:tcBorders>
            <w:shd w:val="clear" w:color="auto" w:fill="DBDBDB"/>
          </w:tcPr>
          <w:p>
            <w:pPr>
              <w:spacing w:after="0"/>
              <w:rPr>
                <w:sz w:val="16"/>
                <w:szCs w:val="16"/>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95"/>
        </w:trPr>
        <w:tc>
          <w:tcPr>
            <w:tcW w:w="2060" w:type="dxa"/>
            <w:vAlign w:val="bottom"/>
            <w:tcBorders>
              <w:right w:val="single" w:sz="8" w:color="123054"/>
            </w:tcBorders>
          </w:tcPr>
          <w:p>
            <w:pPr>
              <w:ind w:left="60"/>
              <w:spacing w:after="0"/>
              <w:rPr>
                <w:sz w:val="20"/>
                <w:szCs w:val="20"/>
                <w:color w:val="auto"/>
              </w:rPr>
            </w:pPr>
            <w:r>
              <w:rPr>
                <w:rFonts w:ascii="Arial" w:cs="Arial" w:eastAsia="Arial" w:hAnsi="Arial"/>
                <w:sz w:val="13"/>
                <w:szCs w:val="13"/>
                <w:b w:val="1"/>
                <w:bCs w:val="1"/>
                <w:color w:val="auto"/>
              </w:rPr>
              <w:t>Michael D. Casey</w:t>
            </w:r>
          </w:p>
        </w:tc>
        <w:tc>
          <w:tcPr>
            <w:tcW w:w="80" w:type="dxa"/>
            <w:vAlign w:val="bottom"/>
          </w:tcPr>
          <w:p>
            <w:pPr>
              <w:spacing w:after="0"/>
              <w:rPr>
                <w:sz w:val="16"/>
                <w:szCs w:val="16"/>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$1,326,154</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$6,976,664</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$100,500</w:t>
            </w:r>
          </w:p>
        </w:tc>
        <w:tc>
          <w:tcPr>
            <w:tcW w:w="80" w:type="dxa"/>
            <w:vAlign w:val="bottom"/>
          </w:tcPr>
          <w:p>
            <w:pPr>
              <w:spacing w:after="0"/>
              <w:rPr>
                <w:sz w:val="16"/>
                <w:szCs w:val="16"/>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$743,451</w:t>
            </w: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$9,146,769</w:t>
            </w:r>
          </w:p>
        </w:tc>
        <w:tc>
          <w:tcPr>
            <w:tcW w:w="0" w:type="dxa"/>
            <w:vAlign w:val="bottom"/>
          </w:tcPr>
          <w:p>
            <w:pPr>
              <w:spacing w:after="0"/>
              <w:rPr>
                <w:sz w:val="1"/>
                <w:szCs w:val="1"/>
                <w:color w:val="auto"/>
              </w:rPr>
            </w:pPr>
          </w:p>
        </w:tc>
      </w:tr>
      <w:tr>
        <w:trPr>
          <w:trHeight w:val="196"/>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Former Chairman,</w:t>
            </w:r>
          </w:p>
        </w:tc>
        <w:tc>
          <w:tcPr>
            <w:tcW w:w="80" w:type="dxa"/>
            <w:vAlign w:val="bottom"/>
          </w:tcPr>
          <w:p>
            <w:pPr>
              <w:spacing w:after="0"/>
              <w:rPr>
                <w:sz w:val="17"/>
                <w:szCs w:val="17"/>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$1,282,692</w:t>
            </w:r>
          </w:p>
        </w:tc>
        <w:tc>
          <w:tcPr>
            <w:tcW w:w="800" w:type="dxa"/>
            <w:vAlign w:val="bottom"/>
            <w:tcBorders>
              <w:right w:val="single" w:sz="8" w:color="123054"/>
            </w:tcBorders>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$6,500,098</w:t>
            </w:r>
          </w:p>
        </w:tc>
        <w:tc>
          <w:tcPr>
            <w:tcW w:w="1180" w:type="dxa"/>
            <w:vAlign w:val="bottom"/>
            <w:tcBorders>
              <w:right w:val="single" w:sz="8" w:color="123054"/>
            </w:tcBorders>
          </w:tcPr>
          <w:p>
            <w:pPr>
              <w:jc w:val="right"/>
              <w:ind w:right="173"/>
              <w:spacing w:after="0"/>
              <w:rPr>
                <w:sz w:val="20"/>
                <w:szCs w:val="20"/>
                <w:color w:val="auto"/>
              </w:rPr>
            </w:pPr>
            <w:r>
              <w:rPr>
                <w:rFonts w:ascii="Arial" w:cs="Arial" w:eastAsia="Arial" w:hAnsi="Arial"/>
                <w:sz w:val="13"/>
                <w:szCs w:val="13"/>
                <w:color w:val="auto"/>
              </w:rPr>
              <w:t>$1,716,000</w:t>
            </w:r>
          </w:p>
        </w:tc>
        <w:tc>
          <w:tcPr>
            <w:tcW w:w="80" w:type="dxa"/>
            <w:vAlign w:val="bottom"/>
          </w:tcPr>
          <w:p>
            <w:pPr>
              <w:spacing w:after="0"/>
              <w:rPr>
                <w:sz w:val="17"/>
                <w:szCs w:val="17"/>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$589,342</w:t>
            </w:r>
          </w:p>
        </w:tc>
        <w:tc>
          <w:tcPr>
            <w:tcW w:w="880" w:type="dxa"/>
            <w:vAlign w:val="bottom"/>
          </w:tcPr>
          <w:p>
            <w:pPr>
              <w:jc w:val="center"/>
              <w:ind w:left="35"/>
              <w:spacing w:after="0"/>
              <w:rPr>
                <w:sz w:val="20"/>
                <w:szCs w:val="20"/>
                <w:color w:val="auto"/>
              </w:rPr>
            </w:pPr>
            <w:r>
              <w:rPr>
                <w:rFonts w:ascii="Arial" w:cs="Arial" w:eastAsia="Arial" w:hAnsi="Arial"/>
                <w:sz w:val="13"/>
                <w:szCs w:val="13"/>
                <w:color w:val="auto"/>
                <w:w w:val="96"/>
              </w:rPr>
              <w:t>$10,088,133</w:t>
            </w:r>
          </w:p>
        </w:tc>
        <w:tc>
          <w:tcPr>
            <w:tcW w:w="0" w:type="dxa"/>
            <w:vAlign w:val="bottom"/>
          </w:tcPr>
          <w:p>
            <w:pPr>
              <w:spacing w:after="0"/>
              <w:rPr>
                <w:sz w:val="1"/>
                <w:szCs w:val="1"/>
                <w:color w:val="auto"/>
              </w:rPr>
            </w:pPr>
          </w:p>
        </w:tc>
      </w:tr>
      <w:tr>
        <w:trPr>
          <w:trHeight w:val="210"/>
        </w:trPr>
        <w:tc>
          <w:tcPr>
            <w:tcW w:w="206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w w:val="91"/>
              </w:rPr>
              <w:t>Chief Executive Officer &amp; President</w:t>
            </w:r>
          </w:p>
        </w:tc>
        <w:tc>
          <w:tcPr>
            <w:tcW w:w="80" w:type="dxa"/>
            <w:vAlign w:val="bottom"/>
          </w:tcPr>
          <w:p>
            <w:pPr>
              <w:spacing w:after="0"/>
              <w:rPr>
                <w:sz w:val="18"/>
                <w:szCs w:val="18"/>
                <w:color w:val="auto"/>
              </w:rPr>
            </w:pPr>
          </w:p>
        </w:tc>
        <w:tc>
          <w:tcPr>
            <w:tcW w:w="540" w:type="dxa"/>
            <w:vAlign w:val="bottom"/>
            <w:tcBorders>
              <w:right w:val="single" w:sz="8" w:color="123054"/>
            </w:tcBorders>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$1,192,885</w:t>
            </w:r>
          </w:p>
        </w:tc>
        <w:tc>
          <w:tcPr>
            <w:tcW w:w="800" w:type="dxa"/>
            <w:vAlign w:val="bottom"/>
            <w:tcBorders>
              <w:right w:val="single" w:sz="8" w:color="123054"/>
            </w:tcBorders>
          </w:tcPr>
          <w:p>
            <w:pPr>
              <w:ind w:left="160"/>
              <w:spacing w:after="0"/>
              <w:rPr>
                <w:sz w:val="20"/>
                <w:szCs w:val="20"/>
                <w:color w:val="auto"/>
              </w:rPr>
            </w:pPr>
            <w:r>
              <w:rPr>
                <w:rFonts w:ascii="Arial" w:cs="Arial" w:eastAsia="Arial" w:hAnsi="Arial"/>
                <w:sz w:val="13"/>
                <w:szCs w:val="13"/>
                <w:color w:val="auto"/>
              </w:rPr>
              <w:t>$468,800</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$6,500,136</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tcPr>
          <w:p>
            <w:pPr>
              <w:spacing w:after="0"/>
              <w:rPr>
                <w:sz w:val="18"/>
                <w:szCs w:val="18"/>
                <w:color w:val="auto"/>
              </w:rPr>
            </w:pPr>
          </w:p>
        </w:tc>
        <w:tc>
          <w:tcPr>
            <w:tcW w:w="13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$444,933</w:t>
            </w:r>
          </w:p>
        </w:tc>
        <w:tc>
          <w:tcPr>
            <w:tcW w:w="880" w:type="dxa"/>
            <w:vAlign w:val="bottom"/>
          </w:tcPr>
          <w:p>
            <w:pPr>
              <w:jc w:val="center"/>
              <w:ind w:left="15"/>
              <w:spacing w:after="0"/>
              <w:rPr>
                <w:sz w:val="20"/>
                <w:szCs w:val="20"/>
                <w:color w:val="auto"/>
              </w:rPr>
            </w:pPr>
            <w:r>
              <w:rPr>
                <w:rFonts w:ascii="Arial" w:cs="Arial" w:eastAsia="Arial" w:hAnsi="Arial"/>
                <w:sz w:val="13"/>
                <w:szCs w:val="13"/>
                <w:color w:val="auto"/>
                <w:w w:val="98"/>
              </w:rPr>
              <w:t>$8,606,754</w:t>
            </w:r>
          </w:p>
        </w:tc>
        <w:tc>
          <w:tcPr>
            <w:tcW w:w="0" w:type="dxa"/>
            <w:vAlign w:val="bottom"/>
          </w:tcPr>
          <w:p>
            <w:pPr>
              <w:spacing w:after="0"/>
              <w:rPr>
                <w:sz w:val="1"/>
                <w:szCs w:val="1"/>
                <w:color w:val="auto"/>
              </w:rPr>
            </w:pPr>
          </w:p>
        </w:tc>
      </w:tr>
      <w:tr>
        <w:trPr>
          <w:trHeight w:val="201"/>
        </w:trPr>
        <w:tc>
          <w:tcPr>
            <w:tcW w:w="20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b w:val="1"/>
                <w:bCs w:val="1"/>
                <w:color w:val="auto"/>
              </w:rPr>
              <w:t>Brian J. Lynch</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2024</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$169,231</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right"/>
              <w:ind w:right="294"/>
              <w:spacing w:after="0"/>
              <w:rPr>
                <w:sz w:val="20"/>
                <w:szCs w:val="20"/>
                <w:color w:val="auto"/>
              </w:rPr>
            </w:pPr>
            <w:r>
              <w:rPr>
                <w:rFonts w:ascii="Arial" w:cs="Arial" w:eastAsia="Arial" w:hAnsi="Arial"/>
                <w:sz w:val="13"/>
                <w:szCs w:val="13"/>
                <w:color w:val="auto"/>
              </w:rPr>
              <w:t>$1,340,089</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$1,509,320</w:t>
            </w:r>
          </w:p>
        </w:tc>
        <w:tc>
          <w:tcPr>
            <w:tcW w:w="0" w:type="dxa"/>
            <w:vAlign w:val="bottom"/>
          </w:tcPr>
          <w:p>
            <w:pPr>
              <w:spacing w:after="0"/>
              <w:rPr>
                <w:sz w:val="1"/>
                <w:szCs w:val="1"/>
                <w:color w:val="auto"/>
              </w:rPr>
            </w:pPr>
          </w:p>
        </w:tc>
      </w:tr>
      <w:tr>
        <w:trPr>
          <w:trHeight w:val="197"/>
        </w:trPr>
        <w:tc>
          <w:tcPr>
            <w:tcW w:w="2060" w:type="dxa"/>
            <w:vAlign w:val="bottom"/>
            <w:tcBorders>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Former President &amp;</w:t>
            </w:r>
          </w:p>
        </w:tc>
        <w:tc>
          <w:tcPr>
            <w:tcW w:w="80" w:type="dxa"/>
            <w:vAlign w:val="bottom"/>
            <w:shd w:val="clear" w:color="auto" w:fill="DBDBDB"/>
          </w:tcPr>
          <w:p>
            <w:pPr>
              <w:spacing w:after="0"/>
              <w:rPr>
                <w:sz w:val="17"/>
                <w:szCs w:val="17"/>
                <w:color w:val="auto"/>
              </w:rPr>
            </w:pPr>
          </w:p>
        </w:tc>
        <w:tc>
          <w:tcPr>
            <w:tcW w:w="540" w:type="dxa"/>
            <w:vAlign w:val="bottom"/>
            <w:tcBorders>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2023</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$867,885</w:t>
            </w:r>
          </w:p>
        </w:tc>
        <w:tc>
          <w:tcPr>
            <w:tcW w:w="800" w:type="dxa"/>
            <w:vAlign w:val="bottom"/>
            <w:tcBorders>
              <w:right w:val="single" w:sz="8" w:color="123054"/>
            </w:tcBorders>
            <w:shd w:val="clear" w:color="auto" w:fill="DBDBDB"/>
          </w:tcPr>
          <w:p>
            <w:pPr>
              <w:ind w:left="30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$2,500,266</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$774,400</w:t>
            </w:r>
          </w:p>
        </w:tc>
        <w:tc>
          <w:tcPr>
            <w:tcW w:w="80" w:type="dxa"/>
            <w:vAlign w:val="bottom"/>
            <w:shd w:val="clear" w:color="auto" w:fill="DBDBDB"/>
          </w:tcPr>
          <w:p>
            <w:pPr>
              <w:spacing w:after="0"/>
              <w:rPr>
                <w:sz w:val="17"/>
                <w:szCs w:val="17"/>
                <w:color w:val="auto"/>
              </w:rPr>
            </w:pPr>
          </w:p>
        </w:tc>
        <w:tc>
          <w:tcPr>
            <w:tcW w:w="13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$241,106</w:t>
            </w:r>
          </w:p>
        </w:tc>
        <w:tc>
          <w:tcPr>
            <w:tcW w:w="880" w:type="dxa"/>
            <w:vAlign w:val="bottom"/>
            <w:shd w:val="clear" w:color="auto" w:fill="DBDBDB"/>
          </w:tcPr>
          <w:p>
            <w:pPr>
              <w:jc w:val="center"/>
              <w:ind w:left="15"/>
              <w:spacing w:after="0"/>
              <w:rPr>
                <w:sz w:val="20"/>
                <w:szCs w:val="20"/>
                <w:color w:val="auto"/>
              </w:rPr>
            </w:pPr>
            <w:r>
              <w:rPr>
                <w:rFonts w:ascii="Arial" w:cs="Arial" w:eastAsia="Arial" w:hAnsi="Arial"/>
                <w:sz w:val="13"/>
                <w:szCs w:val="13"/>
                <w:color w:val="auto"/>
                <w:w w:val="98"/>
              </w:rPr>
              <w:t>$4,383,656</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123054"/>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Chief Operating Officer</w:t>
            </w:r>
          </w:p>
        </w:tc>
        <w:tc>
          <w:tcPr>
            <w:tcW w:w="80" w:type="dxa"/>
            <w:vAlign w:val="bottom"/>
            <w:tcBorders>
              <w:bottom w:val="single" w:sz="8" w:color="123054"/>
            </w:tcBorders>
            <w:shd w:val="clear" w:color="auto" w:fill="DBDBDB"/>
          </w:tcPr>
          <w:p>
            <w:pPr>
              <w:spacing w:after="0"/>
              <w:rPr>
                <w:sz w:val="18"/>
                <w:szCs w:val="18"/>
                <w:color w:val="auto"/>
              </w:rPr>
            </w:pPr>
          </w:p>
        </w:tc>
        <w:tc>
          <w:tcPr>
            <w:tcW w:w="540" w:type="dxa"/>
            <w:vAlign w:val="bottom"/>
            <w:tcBorders>
              <w:bottom w:val="single" w:sz="8" w:color="123054"/>
              <w:right w:val="single" w:sz="8" w:color="123054"/>
            </w:tcBorders>
            <w:shd w:val="clear" w:color="auto" w:fill="DBDBDB"/>
          </w:tcPr>
          <w:p>
            <w:pPr>
              <w:jc w:val="center"/>
              <w:ind w:right="35"/>
              <w:spacing w:after="0"/>
              <w:rPr>
                <w:sz w:val="20"/>
                <w:szCs w:val="20"/>
                <w:color w:val="auto"/>
              </w:rPr>
            </w:pPr>
            <w:r>
              <w:rPr>
                <w:rFonts w:ascii="Arial" w:cs="Arial" w:eastAsia="Arial" w:hAnsi="Arial"/>
                <w:sz w:val="13"/>
                <w:szCs w:val="13"/>
                <w:color w:val="auto"/>
                <w:w w:val="96"/>
              </w:rPr>
              <w:t>2022</w:t>
            </w:r>
          </w:p>
        </w:tc>
        <w:tc>
          <w:tcPr>
            <w:tcW w:w="92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$831,154</w:t>
            </w:r>
          </w:p>
        </w:tc>
        <w:tc>
          <w:tcPr>
            <w:tcW w:w="800" w:type="dxa"/>
            <w:vAlign w:val="bottom"/>
            <w:tcBorders>
              <w:bottom w:val="single" w:sz="8" w:color="123054"/>
              <w:right w:val="single" w:sz="8" w:color="123054"/>
            </w:tcBorders>
            <w:shd w:val="clear" w:color="auto" w:fill="DBDBDB"/>
          </w:tcPr>
          <w:p>
            <w:pPr>
              <w:ind w:left="160"/>
              <w:spacing w:after="0"/>
              <w:rPr>
                <w:sz w:val="20"/>
                <w:szCs w:val="20"/>
                <w:color w:val="auto"/>
              </w:rPr>
            </w:pPr>
            <w:r>
              <w:rPr>
                <w:rFonts w:ascii="Arial" w:cs="Arial" w:eastAsia="Arial" w:hAnsi="Arial"/>
                <w:sz w:val="13"/>
                <w:szCs w:val="13"/>
                <w:color w:val="auto"/>
              </w:rPr>
              <w:t>$211,300</w:t>
            </w:r>
          </w:p>
        </w:tc>
        <w:tc>
          <w:tcPr>
            <w:tcW w:w="90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$2,000,266</w:t>
            </w:r>
          </w:p>
        </w:tc>
        <w:tc>
          <w:tcPr>
            <w:tcW w:w="118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0" w:type="dxa"/>
            <w:vAlign w:val="bottom"/>
            <w:tcBorders>
              <w:bottom w:val="single" w:sz="8" w:color="123054"/>
            </w:tcBorders>
            <w:shd w:val="clear" w:color="auto" w:fill="DBDBDB"/>
          </w:tcPr>
          <w:p>
            <w:pPr>
              <w:spacing w:after="0"/>
              <w:rPr>
                <w:sz w:val="18"/>
                <w:szCs w:val="18"/>
                <w:color w:val="auto"/>
              </w:rPr>
            </w:pPr>
          </w:p>
        </w:tc>
        <w:tc>
          <w:tcPr>
            <w:tcW w:w="132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$165,949</w:t>
            </w:r>
          </w:p>
        </w:tc>
        <w:tc>
          <w:tcPr>
            <w:tcW w:w="880" w:type="dxa"/>
            <w:vAlign w:val="bottom"/>
            <w:tcBorders>
              <w:bottom w:val="single" w:sz="8" w:color="123054"/>
            </w:tcBorders>
            <w:shd w:val="clear" w:color="auto" w:fill="DBDBDB"/>
          </w:tcPr>
          <w:p>
            <w:pPr>
              <w:jc w:val="center"/>
              <w:ind w:left="15"/>
              <w:spacing w:after="0"/>
              <w:rPr>
                <w:sz w:val="20"/>
                <w:szCs w:val="20"/>
                <w:color w:val="auto"/>
              </w:rPr>
            </w:pPr>
            <w:r>
              <w:rPr>
                <w:rFonts w:ascii="Arial" w:cs="Arial" w:eastAsia="Arial" w:hAnsi="Arial"/>
                <w:sz w:val="13"/>
                <w:szCs w:val="13"/>
                <w:color w:val="auto"/>
                <w:w w:val="98"/>
              </w:rPr>
              <w:t>$3,208,669</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49" w:orient="portrait"/>
          <w:cols w:equalWidth="0" w:num="1">
            <w:col w:w="9860"/>
          </w:cols>
          <w:pgMar w:left="1440" w:top="649" w:right="599" w:bottom="0" w:gutter="0" w:footer="0" w:header="0"/>
        </w:sectPr>
      </w:pPr>
    </w:p>
    <w:p>
      <w:pPr>
        <w:ind w:left="460" w:hanging="256"/>
        <w:spacing w:after="0"/>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Amounts in rows may not add exactly to the total due to rounding.</w:t>
      </w:r>
    </w:p>
    <w:p>
      <w:pPr>
        <w:sectPr>
          <w:pgSz w:w="11900" w:h="16849" w:orient="portrait"/>
          <w:cols w:equalWidth="0" w:num="1">
            <w:col w:w="9860"/>
          </w:cols>
          <w:pgMar w:left="1440" w:top="649" w:right="599" w:bottom="0" w:gutter="0" w:footer="0" w:header="0"/>
          <w:type w:val="continuous"/>
        </w:sectPr>
      </w:pPr>
    </w:p>
    <w:bookmarkStart w:id="48" w:name="page49"/>
    <w:bookmarkEnd w:id="48"/>
    <w:p>
      <w:pPr>
        <w:ind w:left="620" w:hanging="387"/>
        <w:spacing w:after="0"/>
        <w:tabs>
          <w:tab w:leader="none" w:pos="620" w:val="left"/>
        </w:tabs>
        <w:numPr>
          <w:ilvl w:val="0"/>
          <w:numId w:val="5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133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4133850"/>
                    </a:xfrm>
                    <a:prstGeom prst="rect">
                      <a:avLst/>
                    </a:prstGeom>
                    <a:noFill/>
                  </pic:spPr>
                </pic:pic>
              </a:graphicData>
            </a:graphic>
          </wp:anchor>
        </w:drawing>
        <w:t>Base salary for each NEO was based on a 364-day fiscal year for fiscal years 2024, 2023 and 2022.</w:t>
      </w:r>
    </w:p>
    <w:p>
      <w:pPr>
        <w:spacing w:after="0" w:line="53" w:lineRule="exact"/>
        <w:rPr>
          <w:rFonts w:ascii="Arial" w:cs="Arial" w:eastAsia="Arial" w:hAnsi="Arial"/>
          <w:sz w:val="13"/>
          <w:szCs w:val="13"/>
          <w:color w:val="auto"/>
        </w:rPr>
      </w:pPr>
    </w:p>
    <w:p>
      <w:pPr>
        <w:ind w:left="620" w:right="180" w:hanging="387"/>
        <w:spacing w:after="0" w:line="260" w:lineRule="auto"/>
        <w:tabs>
          <w:tab w:leader="none" w:pos="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Reflects the discretionary bonus that was awarded in2023 based on fiscal 2022 performance, in light of the challenges faced by the Company due to the COVID-19 pandemic, inflationary impact on consumers, and responses to other challenges in the Company’s business including supply chain disruptions.</w:t>
      </w:r>
    </w:p>
    <w:p>
      <w:pPr>
        <w:spacing w:after="0" w:line="11" w:lineRule="exact"/>
        <w:rPr>
          <w:rFonts w:ascii="Arial" w:cs="Arial" w:eastAsia="Arial" w:hAnsi="Arial"/>
          <w:sz w:val="12"/>
          <w:szCs w:val="12"/>
          <w:color w:val="auto"/>
        </w:rPr>
      </w:pPr>
    </w:p>
    <w:p>
      <w:pPr>
        <w:ind w:left="620" w:hanging="387"/>
        <w:spacing w:after="0"/>
        <w:tabs>
          <w:tab w:leader="none" w:pos="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disclosed in this column represent the total grant date fair value for the following grants computed in accordance with FASB ASC Topic 718:</w:t>
      </w:r>
    </w:p>
    <w:p>
      <w:pPr>
        <w:spacing w:after="0" w:line="91" w:lineRule="exact"/>
        <w:rPr>
          <w:rFonts w:ascii="Arial" w:cs="Arial" w:eastAsia="Arial" w:hAnsi="Arial"/>
          <w:sz w:val="12"/>
          <w:szCs w:val="12"/>
          <w:color w:val="auto"/>
        </w:rPr>
      </w:pPr>
    </w:p>
    <w:p>
      <w:pPr>
        <w:ind w:left="1020" w:hanging="398"/>
        <w:spacing w:after="0" w:line="233" w:lineRule="auto"/>
        <w:tabs>
          <w:tab w:leader="none" w:pos="1020"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 time-based restricted stock granted in 2024, 2023, and 2022 vest in four equal, annual installments beginning one year from the date of the grant, except for a special restricted stock award granted to Ms. Krugman(inconnection with her promotion in 2023) that includes a portion that cliff vests</w:t>
      </w:r>
    </w:p>
    <w:p>
      <w:pPr>
        <w:ind w:left="1020"/>
        <w:spacing w:after="0"/>
        <w:rPr>
          <w:rFonts w:ascii="Arial" w:cs="Arial" w:eastAsia="Arial" w:hAnsi="Arial"/>
          <w:sz w:val="12"/>
          <w:szCs w:val="12"/>
          <w:color w:val="auto"/>
        </w:rPr>
      </w:pPr>
      <w:r>
        <w:rPr>
          <w:rFonts w:ascii="Arial" w:cs="Arial" w:eastAsia="Arial" w:hAnsi="Arial"/>
          <w:sz w:val="13"/>
          <w:szCs w:val="13"/>
          <w:color w:val="auto"/>
        </w:rPr>
        <w:t>on the third anniversary of the date of grant.</w:t>
      </w:r>
    </w:p>
    <w:p>
      <w:pPr>
        <w:spacing w:after="0" w:line="14" w:lineRule="exact"/>
        <w:rPr>
          <w:rFonts w:ascii="Arial" w:cs="Arial" w:eastAsia="Arial" w:hAnsi="Arial"/>
          <w:sz w:val="12"/>
          <w:szCs w:val="12"/>
          <w:color w:val="auto"/>
        </w:rPr>
      </w:pPr>
    </w:p>
    <w:p>
      <w:pPr>
        <w:ind w:left="1020" w:right="560" w:hanging="398"/>
        <w:spacing w:after="0" w:line="218" w:lineRule="auto"/>
        <w:tabs>
          <w:tab w:leader="none" w:pos="1020" w:val="left"/>
        </w:tabs>
        <w:numPr>
          <w:ilvl w:val="1"/>
          <w:numId w:val="57"/>
        </w:numPr>
        <w:rPr>
          <w:rFonts w:ascii="Arial" w:cs="Arial" w:eastAsia="Arial" w:hAnsi="Arial"/>
          <w:sz w:val="13"/>
          <w:szCs w:val="13"/>
          <w:color w:val="auto"/>
        </w:rPr>
      </w:pPr>
      <w:r>
        <w:rPr>
          <w:rFonts w:ascii="Arial" w:cs="Arial" w:eastAsia="Arial" w:hAnsi="Arial"/>
          <w:sz w:val="13"/>
          <w:szCs w:val="13"/>
          <w:color w:val="auto"/>
        </w:rPr>
        <w:t>Vesting of the performance-based restricted stock granted in fiscal 2024 is contingent upon meeting specific performance targets for each of the three fiscal years 2024, 2025, and 2026, individually, and vest, as and to the extent performance criteria are met, in 2027 following completion of fiscal 2026. For 2024, 34% of the total award of performance-based restricted shares included a relative TSR component (the “Market-Based Restricted Shares”).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1940" w:type="dxa"/>
            <w:vAlign w:val="bottom"/>
            <w:tcBorders>
              <w:right w:val="single" w:sz="8" w:color="123054"/>
            </w:tcBorders>
            <w:shd w:val="clear" w:color="auto" w:fill="123054"/>
          </w:tcPr>
          <w:p>
            <w:pPr>
              <w:spacing w:after="0"/>
              <w:rPr>
                <w:sz w:val="17"/>
                <w:szCs w:val="17"/>
                <w:color w:val="auto"/>
              </w:rPr>
            </w:pPr>
          </w:p>
        </w:tc>
        <w:tc>
          <w:tcPr>
            <w:tcW w:w="1080" w:type="dxa"/>
            <w:vAlign w:val="bottom"/>
            <w:tcBorders>
              <w:right w:val="single" w:sz="8" w:color="123054"/>
            </w:tcBorders>
            <w:shd w:val="clear" w:color="auto" w:fill="123054"/>
          </w:tcPr>
          <w:p>
            <w:pPr>
              <w:spacing w:after="0"/>
              <w:rPr>
                <w:sz w:val="17"/>
                <w:szCs w:val="17"/>
                <w:color w:val="auto"/>
              </w:rPr>
            </w:pPr>
          </w:p>
        </w:tc>
        <w:tc>
          <w:tcPr>
            <w:tcW w:w="3060" w:type="dxa"/>
            <w:vAlign w:val="bottom"/>
            <w:tcBorders>
              <w:right w:val="single" w:sz="8" w:color="123054"/>
            </w:tcBorders>
            <w:gridSpan w:val="3"/>
            <w:shd w:val="clear" w:color="auto" w:fill="123054"/>
          </w:tcPr>
          <w:p>
            <w:pPr>
              <w:ind w:left="60"/>
              <w:spacing w:after="0"/>
              <w:rPr>
                <w:sz w:val="20"/>
                <w:szCs w:val="20"/>
                <w:color w:val="auto"/>
              </w:rPr>
            </w:pPr>
            <w:r>
              <w:rPr>
                <w:rFonts w:ascii="Arial" w:cs="Arial" w:eastAsia="Arial" w:hAnsi="Arial"/>
                <w:sz w:val="16"/>
                <w:szCs w:val="16"/>
                <w:b w:val="1"/>
                <w:bCs w:val="1"/>
                <w:color w:val="FBFBFB"/>
              </w:rPr>
              <w:t>Time-Based Time-Based Performance</w:t>
            </w:r>
          </w:p>
        </w:tc>
        <w:tc>
          <w:tcPr>
            <w:tcW w:w="104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rPr>
              <w:t>Market-</w:t>
            </w:r>
          </w:p>
        </w:tc>
        <w:tc>
          <w:tcPr>
            <w:tcW w:w="120" w:type="dxa"/>
            <w:vAlign w:val="bottom"/>
            <w:shd w:val="clear" w:color="auto" w:fill="123054"/>
          </w:tcPr>
          <w:p>
            <w:pPr>
              <w:spacing w:after="0"/>
              <w:rPr>
                <w:sz w:val="17"/>
                <w:szCs w:val="17"/>
                <w:color w:val="auto"/>
              </w:rPr>
            </w:pPr>
          </w:p>
        </w:tc>
        <w:tc>
          <w:tcPr>
            <w:tcW w:w="620" w:type="dxa"/>
            <w:vAlign w:val="bottom"/>
            <w:vMerge w:val="restart"/>
            <w:shd w:val="clear" w:color="auto" w:fill="123054"/>
          </w:tcPr>
          <w:p>
            <w:pPr>
              <w:jc w:val="right"/>
              <w:ind w:right="75"/>
              <w:spacing w:after="0"/>
              <w:rPr>
                <w:sz w:val="20"/>
                <w:szCs w:val="20"/>
                <w:color w:val="auto"/>
              </w:rPr>
            </w:pPr>
            <w:r>
              <w:rPr>
                <w:rFonts w:ascii="Arial" w:cs="Arial" w:eastAsia="Arial" w:hAnsi="Arial"/>
                <w:sz w:val="16"/>
                <w:szCs w:val="16"/>
                <w:b w:val="1"/>
                <w:bCs w:val="1"/>
                <w:color w:val="FBFBFB"/>
              </w:rPr>
              <w:t>Grant</w:t>
            </w:r>
          </w:p>
        </w:tc>
        <w:tc>
          <w:tcPr>
            <w:tcW w:w="0" w:type="dxa"/>
            <w:vAlign w:val="bottom"/>
          </w:tcPr>
          <w:p>
            <w:pPr>
              <w:spacing w:after="0"/>
              <w:rPr>
                <w:sz w:val="1"/>
                <w:szCs w:val="1"/>
                <w:color w:val="auto"/>
              </w:rPr>
            </w:pPr>
          </w:p>
        </w:tc>
      </w:tr>
      <w:tr>
        <w:trPr>
          <w:trHeight w:val="162"/>
        </w:trPr>
        <w:tc>
          <w:tcPr>
            <w:tcW w:w="1940" w:type="dxa"/>
            <w:vAlign w:val="bottom"/>
            <w:tcBorders>
              <w:right w:val="single" w:sz="8" w:color="123054"/>
            </w:tcBorders>
            <w:shd w:val="clear" w:color="auto" w:fill="123054"/>
          </w:tcPr>
          <w:p>
            <w:pPr>
              <w:spacing w:after="0"/>
              <w:rPr>
                <w:sz w:val="14"/>
                <w:szCs w:val="14"/>
                <w:color w:val="auto"/>
              </w:rPr>
            </w:pPr>
          </w:p>
        </w:tc>
        <w:tc>
          <w:tcPr>
            <w:tcW w:w="1080" w:type="dxa"/>
            <w:vAlign w:val="bottom"/>
            <w:tcBorders>
              <w:right w:val="single" w:sz="8" w:color="123054"/>
            </w:tcBorders>
            <w:shd w:val="clear" w:color="auto" w:fill="123054"/>
          </w:tcPr>
          <w:p>
            <w:pPr>
              <w:spacing w:after="0"/>
              <w:rPr>
                <w:sz w:val="14"/>
                <w:szCs w:val="14"/>
                <w:color w:val="auto"/>
              </w:rPr>
            </w:pPr>
          </w:p>
        </w:tc>
        <w:tc>
          <w:tcPr>
            <w:tcW w:w="100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Restricted</w:t>
            </w:r>
          </w:p>
        </w:tc>
        <w:tc>
          <w:tcPr>
            <w:tcW w:w="10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Restricted</w:t>
            </w:r>
          </w:p>
        </w:tc>
        <w:tc>
          <w:tcPr>
            <w:tcW w:w="1040" w:type="dxa"/>
            <w:vAlign w:val="bottom"/>
            <w:tcBorders>
              <w:right w:val="single" w:sz="8" w:color="123054"/>
            </w:tcBorders>
            <w:shd w:val="clear" w:color="auto" w:fill="123054"/>
          </w:tcPr>
          <w:p>
            <w:pPr>
              <w:ind w:left="480"/>
              <w:spacing w:after="0" w:line="162" w:lineRule="exact"/>
              <w:rPr>
                <w:sz w:val="20"/>
                <w:szCs w:val="20"/>
                <w:color w:val="auto"/>
              </w:rPr>
            </w:pPr>
            <w:r>
              <w:rPr>
                <w:rFonts w:ascii="Arial" w:cs="Arial" w:eastAsia="Arial" w:hAnsi="Arial"/>
                <w:sz w:val="16"/>
                <w:szCs w:val="16"/>
                <w:b w:val="1"/>
                <w:bCs w:val="1"/>
                <w:color w:val="FBFBFB"/>
              </w:rPr>
              <w:t>-</w:t>
            </w:r>
          </w:p>
        </w:tc>
        <w:tc>
          <w:tcPr>
            <w:tcW w:w="1040" w:type="dxa"/>
            <w:vAlign w:val="bottom"/>
            <w:tcBorders>
              <w:right w:val="single" w:sz="8" w:color="123054"/>
            </w:tcBorders>
            <w:vMerge w:val="continue"/>
            <w:shd w:val="clear" w:color="auto" w:fill="123054"/>
          </w:tcPr>
          <w:p>
            <w:pPr>
              <w:spacing w:after="0"/>
              <w:rPr>
                <w:sz w:val="14"/>
                <w:szCs w:val="14"/>
                <w:color w:val="auto"/>
              </w:rPr>
            </w:pPr>
          </w:p>
        </w:tc>
        <w:tc>
          <w:tcPr>
            <w:tcW w:w="120" w:type="dxa"/>
            <w:vAlign w:val="bottom"/>
            <w:shd w:val="clear" w:color="auto" w:fill="123054"/>
          </w:tcPr>
          <w:p>
            <w:pPr>
              <w:spacing w:after="0"/>
              <w:rPr>
                <w:sz w:val="14"/>
                <w:szCs w:val="14"/>
                <w:color w:val="auto"/>
              </w:rPr>
            </w:pPr>
          </w:p>
        </w:tc>
        <w:tc>
          <w:tcPr>
            <w:tcW w:w="620" w:type="dxa"/>
            <w:vAlign w:val="bottom"/>
            <w:vMerge w:val="continue"/>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Borders>
              <w:right w:val="single" w:sz="8" w:color="123054"/>
            </w:tcBorders>
            <w:shd w:val="clear" w:color="auto" w:fill="123054"/>
          </w:tcPr>
          <w:p>
            <w:pPr>
              <w:spacing w:after="0"/>
              <w:rPr>
                <w:sz w:val="14"/>
                <w:szCs w:val="14"/>
                <w:color w:val="auto"/>
              </w:rPr>
            </w:pPr>
          </w:p>
        </w:tc>
        <w:tc>
          <w:tcPr>
            <w:tcW w:w="1080" w:type="dxa"/>
            <w:vAlign w:val="bottom"/>
            <w:tcBorders>
              <w:right w:val="single" w:sz="8" w:color="123054"/>
            </w:tcBorders>
            <w:shd w:val="clear" w:color="auto" w:fill="123054"/>
          </w:tcPr>
          <w:p>
            <w:pPr>
              <w:spacing w:after="0"/>
              <w:rPr>
                <w:sz w:val="14"/>
                <w:szCs w:val="14"/>
                <w:color w:val="auto"/>
              </w:rPr>
            </w:pPr>
          </w:p>
        </w:tc>
        <w:tc>
          <w:tcPr>
            <w:tcW w:w="1000" w:type="dxa"/>
            <w:vAlign w:val="bottom"/>
            <w:tcBorders>
              <w:right w:val="single" w:sz="8" w:color="123054"/>
            </w:tcBorders>
            <w:shd w:val="clear" w:color="auto" w:fill="123054"/>
          </w:tcPr>
          <w:p>
            <w:pPr>
              <w:ind w:left="140"/>
              <w:spacing w:after="0" w:line="162" w:lineRule="exact"/>
              <w:rPr>
                <w:sz w:val="20"/>
                <w:szCs w:val="20"/>
                <w:color w:val="auto"/>
              </w:rPr>
            </w:pPr>
            <w:r>
              <w:rPr>
                <w:rFonts w:ascii="Arial" w:cs="Arial" w:eastAsia="Arial" w:hAnsi="Arial"/>
                <w:sz w:val="16"/>
                <w:szCs w:val="16"/>
                <w:b w:val="1"/>
                <w:bCs w:val="1"/>
                <w:color w:val="FBFBFB"/>
              </w:rPr>
              <w:t>Shares – 4</w:t>
            </w:r>
          </w:p>
        </w:tc>
        <w:tc>
          <w:tcPr>
            <w:tcW w:w="10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Shares – 3</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Based</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Based</w:t>
            </w:r>
          </w:p>
        </w:tc>
        <w:tc>
          <w:tcPr>
            <w:tcW w:w="740" w:type="dxa"/>
            <w:vAlign w:val="bottom"/>
            <w:gridSpan w:val="2"/>
            <w:shd w:val="clear" w:color="auto" w:fill="123054"/>
          </w:tcPr>
          <w:p>
            <w:pPr>
              <w:ind w:left="40"/>
              <w:spacing w:after="0" w:line="162" w:lineRule="exact"/>
              <w:rPr>
                <w:sz w:val="20"/>
                <w:szCs w:val="20"/>
                <w:color w:val="auto"/>
              </w:rPr>
            </w:pPr>
            <w:r>
              <w:rPr>
                <w:rFonts w:ascii="Arial" w:cs="Arial" w:eastAsia="Arial" w:hAnsi="Arial"/>
                <w:sz w:val="16"/>
                <w:szCs w:val="16"/>
                <w:b w:val="1"/>
                <w:bCs w:val="1"/>
                <w:color w:val="FBFBFB"/>
                <w:w w:val="99"/>
              </w:rPr>
              <w:t>Date Fair</w:t>
            </w:r>
          </w:p>
        </w:tc>
        <w:tc>
          <w:tcPr>
            <w:tcW w:w="0" w:type="dxa"/>
            <w:vAlign w:val="bottom"/>
          </w:tcPr>
          <w:p>
            <w:pPr>
              <w:spacing w:after="0"/>
              <w:rPr>
                <w:sz w:val="1"/>
                <w:szCs w:val="1"/>
                <w:color w:val="auto"/>
              </w:rPr>
            </w:pPr>
          </w:p>
        </w:tc>
      </w:tr>
      <w:tr>
        <w:trPr>
          <w:trHeight w:val="162"/>
        </w:trPr>
        <w:tc>
          <w:tcPr>
            <w:tcW w:w="1940" w:type="dxa"/>
            <w:vAlign w:val="bottom"/>
            <w:tcBorders>
              <w:right w:val="single" w:sz="8" w:color="123054"/>
            </w:tcBorders>
            <w:vMerge w:val="restart"/>
            <w:shd w:val="clear" w:color="auto" w:fill="123054"/>
          </w:tcPr>
          <w:p>
            <w:pPr>
              <w:ind w:left="20"/>
              <w:spacing w:after="0"/>
              <w:rPr>
                <w:sz w:val="20"/>
                <w:szCs w:val="20"/>
                <w:color w:val="auto"/>
              </w:rPr>
            </w:pPr>
            <w:r>
              <w:rPr>
                <w:rFonts w:ascii="Arial" w:cs="Arial" w:eastAsia="Arial" w:hAnsi="Arial"/>
                <w:sz w:val="16"/>
                <w:szCs w:val="16"/>
                <w:b w:val="1"/>
                <w:bCs w:val="1"/>
                <w:color w:val="FBFBFB"/>
              </w:rPr>
              <w:t>Name</w:t>
            </w:r>
          </w:p>
        </w:tc>
        <w:tc>
          <w:tcPr>
            <w:tcW w:w="108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rPr>
              <w:t>Grant Date</w:t>
            </w:r>
          </w:p>
        </w:tc>
        <w:tc>
          <w:tcPr>
            <w:tcW w:w="100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7"/>
              </w:rPr>
              <w:t>Year</w:t>
            </w:r>
          </w:p>
        </w:tc>
        <w:tc>
          <w:tcPr>
            <w:tcW w:w="10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7"/>
              </w:rPr>
              <w:t>Year</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Restricted</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Restricted</w:t>
            </w:r>
          </w:p>
        </w:tc>
        <w:tc>
          <w:tcPr>
            <w:tcW w:w="740" w:type="dxa"/>
            <w:vAlign w:val="bottom"/>
            <w:gridSpan w:val="2"/>
            <w:shd w:val="clear" w:color="auto" w:fill="123054"/>
          </w:tcPr>
          <w:p>
            <w:pPr>
              <w:ind w:left="20"/>
              <w:spacing w:after="0" w:line="162" w:lineRule="exact"/>
              <w:rPr>
                <w:sz w:val="20"/>
                <w:szCs w:val="20"/>
                <w:color w:val="auto"/>
              </w:rPr>
            </w:pPr>
            <w:r>
              <w:rPr>
                <w:rFonts w:ascii="Arial" w:cs="Arial" w:eastAsia="Arial" w:hAnsi="Arial"/>
                <w:sz w:val="16"/>
                <w:szCs w:val="16"/>
                <w:b w:val="1"/>
                <w:bCs w:val="1"/>
                <w:color w:val="FBFBFB"/>
                <w:w w:val="97"/>
              </w:rPr>
              <w:t>Value per</w:t>
            </w:r>
          </w:p>
        </w:tc>
        <w:tc>
          <w:tcPr>
            <w:tcW w:w="0" w:type="dxa"/>
            <w:vAlign w:val="bottom"/>
          </w:tcPr>
          <w:p>
            <w:pPr>
              <w:spacing w:after="0"/>
              <w:rPr>
                <w:sz w:val="1"/>
                <w:szCs w:val="1"/>
                <w:color w:val="auto"/>
              </w:rPr>
            </w:pPr>
          </w:p>
        </w:tc>
      </w:tr>
      <w:tr>
        <w:trPr>
          <w:trHeight w:val="230"/>
        </w:trPr>
        <w:tc>
          <w:tcPr>
            <w:tcW w:w="1940" w:type="dxa"/>
            <w:vAlign w:val="bottom"/>
            <w:tcBorders>
              <w:right w:val="single" w:sz="8" w:color="123054"/>
            </w:tcBorders>
            <w:vMerge w:val="continue"/>
            <w:shd w:val="clear" w:color="auto" w:fill="123054"/>
          </w:tcPr>
          <w:p>
            <w:pPr>
              <w:spacing w:after="0"/>
              <w:rPr>
                <w:sz w:val="19"/>
                <w:szCs w:val="19"/>
                <w:color w:val="auto"/>
              </w:rPr>
            </w:pPr>
          </w:p>
        </w:tc>
        <w:tc>
          <w:tcPr>
            <w:tcW w:w="1080" w:type="dxa"/>
            <w:vAlign w:val="bottom"/>
            <w:tcBorders>
              <w:right w:val="single" w:sz="8" w:color="123054"/>
            </w:tcBorders>
            <w:vMerge w:val="continue"/>
            <w:shd w:val="clear" w:color="auto" w:fill="123054"/>
          </w:tcPr>
          <w:p>
            <w:pPr>
              <w:spacing w:after="0"/>
              <w:rPr>
                <w:sz w:val="19"/>
                <w:szCs w:val="19"/>
                <w:color w:val="auto"/>
              </w:rPr>
            </w:pP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4"/>
              </w:rPr>
              <w:t>Vest</w:t>
            </w:r>
          </w:p>
        </w:tc>
        <w:tc>
          <w:tcPr>
            <w:tcW w:w="10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7"/>
              </w:rPr>
              <w:t>Cliff Vest</w:t>
            </w:r>
          </w:p>
        </w:tc>
        <w:tc>
          <w:tcPr>
            <w:tcW w:w="10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Shares</w:t>
            </w:r>
          </w:p>
        </w:tc>
        <w:tc>
          <w:tcPr>
            <w:tcW w:w="10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Shares</w:t>
            </w:r>
          </w:p>
        </w:tc>
        <w:tc>
          <w:tcPr>
            <w:tcW w:w="120" w:type="dxa"/>
            <w:vAlign w:val="bottom"/>
            <w:shd w:val="clear" w:color="auto" w:fill="123054"/>
          </w:tcPr>
          <w:p>
            <w:pPr>
              <w:spacing w:after="0"/>
              <w:rPr>
                <w:sz w:val="19"/>
                <w:szCs w:val="19"/>
                <w:color w:val="auto"/>
              </w:rPr>
            </w:pPr>
          </w:p>
        </w:tc>
        <w:tc>
          <w:tcPr>
            <w:tcW w:w="620" w:type="dxa"/>
            <w:vAlign w:val="bottom"/>
            <w:shd w:val="clear" w:color="auto" w:fill="123054"/>
          </w:tcPr>
          <w:p>
            <w:pPr>
              <w:jc w:val="right"/>
              <w:ind w:right="75"/>
              <w:spacing w:after="0"/>
              <w:rPr>
                <w:sz w:val="20"/>
                <w:szCs w:val="20"/>
                <w:color w:val="auto"/>
              </w:rPr>
            </w:pPr>
            <w:r>
              <w:rPr>
                <w:rFonts w:ascii="Arial" w:cs="Arial" w:eastAsia="Arial" w:hAnsi="Arial"/>
                <w:sz w:val="16"/>
                <w:szCs w:val="16"/>
                <w:b w:val="1"/>
                <w:bCs w:val="1"/>
                <w:color w:val="FBFBFB"/>
              </w:rPr>
              <w:t>Share</w:t>
            </w:r>
          </w:p>
        </w:tc>
        <w:tc>
          <w:tcPr>
            <w:tcW w:w="0" w:type="dxa"/>
            <w:vAlign w:val="bottom"/>
          </w:tcPr>
          <w:p>
            <w:pPr>
              <w:spacing w:after="0"/>
              <w:rPr>
                <w:sz w:val="1"/>
                <w:szCs w:val="1"/>
                <w:color w:val="auto"/>
              </w:rPr>
            </w:pPr>
          </w:p>
        </w:tc>
      </w:tr>
      <w:tr>
        <w:trPr>
          <w:trHeight w:val="166"/>
        </w:trPr>
        <w:tc>
          <w:tcPr>
            <w:tcW w:w="194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Richard F. Westenberger</w:t>
            </w: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9,152</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6,040</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81.95</w:t>
            </w:r>
          </w:p>
        </w:tc>
        <w:tc>
          <w:tcPr>
            <w:tcW w:w="0" w:type="dxa"/>
            <w:vAlign w:val="bottom"/>
          </w:tcPr>
          <w:p>
            <w:pPr>
              <w:spacing w:after="0"/>
              <w:rPr>
                <w:sz w:val="1"/>
                <w:szCs w:val="1"/>
                <w:color w:val="auto"/>
              </w:rPr>
            </w:pPr>
          </w:p>
        </w:tc>
      </w:tr>
      <w:tr>
        <w:trPr>
          <w:trHeight w:val="198"/>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3,112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117.28</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2/27/2023</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10,468</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10,468</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74.06</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2/16/2022</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6,860</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6,860</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91.12</w:t>
            </w:r>
          </w:p>
        </w:tc>
        <w:tc>
          <w:tcPr>
            <w:tcW w:w="0" w:type="dxa"/>
            <w:vAlign w:val="bottom"/>
          </w:tcPr>
          <w:p>
            <w:pPr>
              <w:spacing w:after="0"/>
              <w:rPr>
                <w:sz w:val="1"/>
                <w:szCs w:val="1"/>
                <w:color w:val="auto"/>
              </w:rPr>
            </w:pPr>
          </w:p>
        </w:tc>
      </w:tr>
      <w:tr>
        <w:trPr>
          <w:trHeight w:val="28"/>
        </w:trPr>
        <w:tc>
          <w:tcPr>
            <w:tcW w:w="1940" w:type="dxa"/>
            <w:vAlign w:val="bottom"/>
            <w:tcBorders>
              <w:right w:val="single" w:sz="8" w:color="123054"/>
            </w:tcBorders>
          </w:tcPr>
          <w:p>
            <w:pPr>
              <w:spacing w:after="0"/>
              <w:rPr>
                <w:sz w:val="2"/>
                <w:szCs w:val="2"/>
                <w:color w:val="auto"/>
              </w:rPr>
            </w:pPr>
          </w:p>
        </w:tc>
        <w:tc>
          <w:tcPr>
            <w:tcW w:w="108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020" w:type="dxa"/>
            <w:vAlign w:val="bottom"/>
            <w:tcBorders>
              <w:right w:val="single" w:sz="8" w:color="123054"/>
            </w:tcBorders>
          </w:tcPr>
          <w:p>
            <w:pPr>
              <w:spacing w:after="0"/>
              <w:rPr>
                <w:sz w:val="2"/>
                <w:szCs w:val="2"/>
                <w:color w:val="auto"/>
              </w:rPr>
            </w:pPr>
          </w:p>
        </w:tc>
        <w:tc>
          <w:tcPr>
            <w:tcW w:w="1040" w:type="dxa"/>
            <w:vAlign w:val="bottom"/>
            <w:tcBorders>
              <w:right w:val="single" w:sz="8" w:color="123054"/>
            </w:tcBorders>
          </w:tcPr>
          <w:p>
            <w:pPr>
              <w:spacing w:after="0"/>
              <w:rPr>
                <w:sz w:val="2"/>
                <w:szCs w:val="2"/>
                <w:color w:val="auto"/>
              </w:rPr>
            </w:pPr>
          </w:p>
        </w:tc>
        <w:tc>
          <w:tcPr>
            <w:tcW w:w="1040" w:type="dxa"/>
            <w:vAlign w:val="bottom"/>
            <w:tcBorders>
              <w:right w:val="single" w:sz="8" w:color="123054"/>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4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Kendra D. Krugman</w:t>
            </w: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9,152</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6,040</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81.95</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shd w:val="clear" w:color="auto" w:fill="DBDBDB"/>
          </w:tcPr>
          <w:p>
            <w:pPr>
              <w:spacing w:after="0"/>
              <w:rPr>
                <w:sz w:val="17"/>
                <w:szCs w:val="17"/>
                <w:color w:val="auto"/>
              </w:rPr>
            </w:pP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3,112</w:t>
            </w:r>
          </w:p>
        </w:tc>
        <w:tc>
          <w:tcPr>
            <w:tcW w:w="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117.28</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shd w:val="clear" w:color="auto" w:fill="DBDBDB"/>
          </w:tcPr>
          <w:p>
            <w:pPr>
              <w:spacing w:after="0"/>
              <w:rPr>
                <w:sz w:val="17"/>
                <w:szCs w:val="17"/>
                <w:color w:val="auto"/>
              </w:rPr>
            </w:pP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2/27/2023</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5,404</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5,404</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74.06</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shd w:val="clear" w:color="auto" w:fill="DBDBDB"/>
          </w:tcPr>
          <w:p>
            <w:pPr>
              <w:spacing w:after="0"/>
              <w:rPr>
                <w:sz w:val="17"/>
                <w:szCs w:val="17"/>
                <w:color w:val="auto"/>
              </w:rPr>
            </w:pP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3/21/2023</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14,022</w:t>
            </w:r>
          </w:p>
        </w:tc>
        <w:tc>
          <w:tcPr>
            <w:tcW w:w="104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71.32</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DBDBDB"/>
              <w:right w:val="single" w:sz="8" w:color="123054"/>
            </w:tcBorders>
            <w:shd w:val="clear" w:color="auto" w:fill="DBDBDB"/>
          </w:tcPr>
          <w:p>
            <w:pPr>
              <w:spacing w:after="0"/>
              <w:rPr>
                <w:sz w:val="18"/>
                <w:szCs w:val="18"/>
                <w:color w:val="auto"/>
              </w:rPr>
            </w:pPr>
          </w:p>
        </w:tc>
        <w:tc>
          <w:tcPr>
            <w:tcW w:w="10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2/16/2022</w:t>
            </w:r>
          </w:p>
        </w:tc>
        <w:tc>
          <w:tcPr>
            <w:tcW w:w="10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5,492</w:t>
            </w:r>
          </w:p>
        </w:tc>
        <w:tc>
          <w:tcPr>
            <w:tcW w:w="102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5,492</w:t>
            </w:r>
          </w:p>
        </w:tc>
        <w:tc>
          <w:tcPr>
            <w:tcW w:w="10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91.12</w:t>
            </w:r>
          </w:p>
        </w:tc>
        <w:tc>
          <w:tcPr>
            <w:tcW w:w="0" w:type="dxa"/>
            <w:vAlign w:val="bottom"/>
          </w:tcPr>
          <w:p>
            <w:pPr>
              <w:spacing w:after="0"/>
              <w:rPr>
                <w:sz w:val="1"/>
                <w:szCs w:val="1"/>
                <w:color w:val="auto"/>
              </w:rPr>
            </w:pPr>
          </w:p>
        </w:tc>
      </w:tr>
      <w:tr>
        <w:trPr>
          <w:trHeight w:val="175"/>
        </w:trPr>
        <w:tc>
          <w:tcPr>
            <w:tcW w:w="194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Allison M. Peterson</w:t>
            </w: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4"/>
              </w:rPr>
              <w:t>8/9/2024</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39,920</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62.63</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2/27/2023</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74.06</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2/16/2022</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91.12</w:t>
            </w:r>
          </w:p>
        </w:tc>
        <w:tc>
          <w:tcPr>
            <w:tcW w:w="0" w:type="dxa"/>
            <w:vAlign w:val="bottom"/>
          </w:tcPr>
          <w:p>
            <w:pPr>
              <w:spacing w:after="0"/>
              <w:rPr>
                <w:sz w:val="1"/>
                <w:szCs w:val="1"/>
                <w:color w:val="auto"/>
              </w:rPr>
            </w:pPr>
          </w:p>
        </w:tc>
      </w:tr>
      <w:tr>
        <w:trPr>
          <w:trHeight w:val="28"/>
        </w:trPr>
        <w:tc>
          <w:tcPr>
            <w:tcW w:w="1940" w:type="dxa"/>
            <w:vAlign w:val="bottom"/>
            <w:tcBorders>
              <w:right w:val="single" w:sz="8" w:color="123054"/>
            </w:tcBorders>
          </w:tcPr>
          <w:p>
            <w:pPr>
              <w:spacing w:after="0"/>
              <w:rPr>
                <w:sz w:val="2"/>
                <w:szCs w:val="2"/>
                <w:color w:val="auto"/>
              </w:rPr>
            </w:pPr>
          </w:p>
        </w:tc>
        <w:tc>
          <w:tcPr>
            <w:tcW w:w="108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020" w:type="dxa"/>
            <w:vAlign w:val="bottom"/>
            <w:tcBorders>
              <w:right w:val="single" w:sz="8" w:color="123054"/>
            </w:tcBorders>
          </w:tcPr>
          <w:p>
            <w:pPr>
              <w:spacing w:after="0"/>
              <w:rPr>
                <w:sz w:val="2"/>
                <w:szCs w:val="2"/>
                <w:color w:val="auto"/>
              </w:rPr>
            </w:pPr>
          </w:p>
        </w:tc>
        <w:tc>
          <w:tcPr>
            <w:tcW w:w="1040" w:type="dxa"/>
            <w:vAlign w:val="bottom"/>
            <w:tcBorders>
              <w:right w:val="single" w:sz="8" w:color="123054"/>
            </w:tcBorders>
          </w:tcPr>
          <w:p>
            <w:pPr>
              <w:spacing w:after="0"/>
              <w:rPr>
                <w:sz w:val="2"/>
                <w:szCs w:val="2"/>
                <w:color w:val="auto"/>
              </w:rPr>
            </w:pPr>
          </w:p>
        </w:tc>
        <w:tc>
          <w:tcPr>
            <w:tcW w:w="1040" w:type="dxa"/>
            <w:vAlign w:val="bottom"/>
            <w:tcBorders>
              <w:right w:val="single" w:sz="8" w:color="123054"/>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4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Raghu R. Sagi</w:t>
            </w:r>
          </w:p>
        </w:tc>
        <w:tc>
          <w:tcPr>
            <w:tcW w:w="10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5/10/2024</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14,484</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69.05</w:t>
            </w:r>
          </w:p>
        </w:tc>
        <w:tc>
          <w:tcPr>
            <w:tcW w:w="0" w:type="dxa"/>
            <w:vAlign w:val="bottom"/>
          </w:tcPr>
          <w:p>
            <w:pPr>
              <w:spacing w:after="0"/>
              <w:rPr>
                <w:sz w:val="1"/>
                <w:szCs w:val="1"/>
                <w:color w:val="auto"/>
              </w:rPr>
            </w:pPr>
          </w:p>
        </w:tc>
      </w:tr>
      <w:tr>
        <w:trPr>
          <w:trHeight w:val="28"/>
        </w:trPr>
        <w:tc>
          <w:tcPr>
            <w:tcW w:w="1940" w:type="dxa"/>
            <w:vAlign w:val="bottom"/>
            <w:tcBorders>
              <w:right w:val="single" w:sz="8" w:color="123054"/>
            </w:tcBorders>
            <w:shd w:val="clear" w:color="auto" w:fill="DBDBDB"/>
          </w:tcPr>
          <w:p>
            <w:pPr>
              <w:spacing w:after="0"/>
              <w:rPr>
                <w:sz w:val="2"/>
                <w:szCs w:val="2"/>
                <w:color w:val="auto"/>
              </w:rPr>
            </w:pPr>
          </w:p>
        </w:tc>
        <w:tc>
          <w:tcPr>
            <w:tcW w:w="1080" w:type="dxa"/>
            <w:vAlign w:val="bottom"/>
            <w:tcBorders>
              <w:right w:val="single" w:sz="8" w:color="123054"/>
            </w:tcBorders>
            <w:shd w:val="clear" w:color="auto" w:fill="DBDBDB"/>
          </w:tcPr>
          <w:p>
            <w:pPr>
              <w:spacing w:after="0"/>
              <w:rPr>
                <w:sz w:val="2"/>
                <w:szCs w:val="2"/>
                <w:color w:val="auto"/>
              </w:rPr>
            </w:pPr>
          </w:p>
        </w:tc>
        <w:tc>
          <w:tcPr>
            <w:tcW w:w="1000" w:type="dxa"/>
            <w:vAlign w:val="bottom"/>
            <w:tcBorders>
              <w:right w:val="single" w:sz="8" w:color="123054"/>
            </w:tcBorders>
            <w:shd w:val="clear" w:color="auto" w:fill="DBDBDB"/>
          </w:tcPr>
          <w:p>
            <w:pPr>
              <w:spacing w:after="0"/>
              <w:rPr>
                <w:sz w:val="2"/>
                <w:szCs w:val="2"/>
                <w:color w:val="auto"/>
              </w:rPr>
            </w:pPr>
          </w:p>
        </w:tc>
        <w:tc>
          <w:tcPr>
            <w:tcW w:w="1020" w:type="dxa"/>
            <w:vAlign w:val="bottom"/>
            <w:tcBorders>
              <w:right w:val="single" w:sz="8" w:color="123054"/>
            </w:tcBorders>
            <w:shd w:val="clear" w:color="auto" w:fill="DBDBDB"/>
          </w:tcPr>
          <w:p>
            <w:pPr>
              <w:spacing w:after="0"/>
              <w:rPr>
                <w:sz w:val="2"/>
                <w:szCs w:val="2"/>
                <w:color w:val="auto"/>
              </w:rPr>
            </w:pPr>
          </w:p>
        </w:tc>
        <w:tc>
          <w:tcPr>
            <w:tcW w:w="1040" w:type="dxa"/>
            <w:vAlign w:val="bottom"/>
            <w:tcBorders>
              <w:right w:val="single" w:sz="8" w:color="123054"/>
            </w:tcBorders>
            <w:shd w:val="clear" w:color="auto" w:fill="DBDBDB"/>
          </w:tcPr>
          <w:p>
            <w:pPr>
              <w:spacing w:after="0"/>
              <w:rPr>
                <w:sz w:val="2"/>
                <w:szCs w:val="2"/>
                <w:color w:val="auto"/>
              </w:rPr>
            </w:pPr>
          </w:p>
        </w:tc>
        <w:tc>
          <w:tcPr>
            <w:tcW w:w="1040" w:type="dxa"/>
            <w:vAlign w:val="bottom"/>
            <w:tcBorders>
              <w:right w:val="single" w:sz="8" w:color="123054"/>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299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1940" w:type="dxa"/>
            <w:vAlign w:val="bottom"/>
            <w:tcBorders>
              <w:right w:val="single" w:sz="8" w:color="123054"/>
            </w:tcBorders>
            <w:shd w:val="clear" w:color="auto" w:fill="DBDBDB"/>
          </w:tcPr>
          <w:p>
            <w:pPr>
              <w:spacing w:after="0"/>
              <w:rPr>
                <w:sz w:val="16"/>
                <w:szCs w:val="16"/>
                <w:color w:val="auto"/>
              </w:rPr>
            </w:pPr>
          </w:p>
        </w:tc>
        <w:tc>
          <w:tcPr>
            <w:tcW w:w="1080" w:type="dxa"/>
            <w:vAlign w:val="bottom"/>
            <w:tcBorders>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2/27/2023</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74.06</w:t>
            </w:r>
          </w:p>
        </w:tc>
      </w:tr>
      <w:tr>
        <w:trPr>
          <w:trHeight w:val="216"/>
        </w:trPr>
        <w:tc>
          <w:tcPr>
            <w:tcW w:w="1940" w:type="dxa"/>
            <w:vAlign w:val="bottom"/>
            <w:tcBorders>
              <w:right w:val="single" w:sz="8" w:color="123054"/>
            </w:tcBorders>
            <w:shd w:val="clear" w:color="auto" w:fill="DBDBDB"/>
          </w:tcPr>
          <w:p>
            <w:pPr>
              <w:spacing w:after="0"/>
              <w:rPr>
                <w:sz w:val="18"/>
                <w:szCs w:val="18"/>
                <w:color w:val="auto"/>
              </w:rPr>
            </w:pPr>
          </w:p>
        </w:tc>
        <w:tc>
          <w:tcPr>
            <w:tcW w:w="1080" w:type="dxa"/>
            <w:vAlign w:val="bottom"/>
            <w:tcBorders>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2/16/2022</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91.12</w:t>
            </w:r>
          </w:p>
        </w:tc>
      </w:tr>
      <w:tr>
        <w:trPr>
          <w:trHeight w:val="189"/>
        </w:trPr>
        <w:tc>
          <w:tcPr>
            <w:tcW w:w="194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Michael D. Casey</w:t>
            </w:r>
          </w:p>
        </w:tc>
        <w:tc>
          <w:tcPr>
            <w:tcW w:w="1080" w:type="dxa"/>
            <w:vAlign w:val="bottom"/>
            <w:tcBorders>
              <w:right w:val="single" w:sz="8" w:color="123054"/>
            </w:tcBorders>
          </w:tcPr>
          <w:p>
            <w:pPr>
              <w:jc w:val="right"/>
              <w:ind w:right="197"/>
              <w:spacing w:after="0"/>
              <w:rPr>
                <w:sz w:val="20"/>
                <w:szCs w:val="20"/>
                <w:color w:val="auto"/>
              </w:rPr>
            </w:pPr>
            <w:r>
              <w:rPr>
                <w:rFonts w:ascii="Arial" w:cs="Arial" w:eastAsia="Arial" w:hAnsi="Arial"/>
                <w:sz w:val="13"/>
                <w:szCs w:val="13"/>
                <w:color w:val="auto"/>
              </w:rPr>
              <w:t>2/28/2024</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39,660</w:t>
            </w:r>
          </w:p>
        </w:tc>
        <w:tc>
          <w:tcPr>
            <w:tcW w:w="102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26,176</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81.95</w:t>
            </w: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right"/>
              <w:ind w:right="197"/>
              <w:spacing w:after="0"/>
              <w:rPr>
                <w:sz w:val="20"/>
                <w:szCs w:val="20"/>
                <w:color w:val="auto"/>
              </w:rPr>
            </w:pPr>
            <w:r>
              <w:rPr>
                <w:rFonts w:ascii="Arial" w:cs="Arial" w:eastAsia="Arial" w:hAnsi="Arial"/>
                <w:sz w:val="13"/>
                <w:szCs w:val="13"/>
                <w:color w:val="auto"/>
              </w:rPr>
              <w:t>2/28/2024</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13,484</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117.28</w:t>
            </w:r>
          </w:p>
        </w:tc>
      </w:tr>
      <w:tr>
        <w:trPr>
          <w:trHeight w:val="203"/>
        </w:trPr>
        <w:tc>
          <w:tcPr>
            <w:tcW w:w="1940" w:type="dxa"/>
            <w:vAlign w:val="bottom"/>
            <w:tcBorders>
              <w:right w:val="single" w:sz="8" w:color="123054"/>
            </w:tcBorders>
          </w:tcPr>
          <w:p>
            <w:pPr>
              <w:spacing w:after="0"/>
              <w:rPr>
                <w:sz w:val="17"/>
                <w:szCs w:val="17"/>
                <w:color w:val="auto"/>
              </w:rPr>
            </w:pPr>
          </w:p>
        </w:tc>
        <w:tc>
          <w:tcPr>
            <w:tcW w:w="1080" w:type="dxa"/>
            <w:vAlign w:val="bottom"/>
            <w:tcBorders>
              <w:right w:val="single" w:sz="8" w:color="123054"/>
            </w:tcBorders>
          </w:tcPr>
          <w:p>
            <w:pPr>
              <w:jc w:val="right"/>
              <w:ind w:right="197"/>
              <w:spacing w:after="0"/>
              <w:rPr>
                <w:sz w:val="20"/>
                <w:szCs w:val="20"/>
                <w:color w:val="auto"/>
              </w:rPr>
            </w:pPr>
            <w:r>
              <w:rPr>
                <w:rFonts w:ascii="Arial" w:cs="Arial" w:eastAsia="Arial" w:hAnsi="Arial"/>
                <w:sz w:val="13"/>
                <w:szCs w:val="13"/>
                <w:color w:val="auto"/>
              </w:rPr>
              <w:t>2/27/2023</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43,884</w:t>
            </w:r>
          </w:p>
        </w:tc>
        <w:tc>
          <w:tcPr>
            <w:tcW w:w="102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43,884</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74.06</w:t>
            </w:r>
          </w:p>
        </w:tc>
      </w:tr>
      <w:tr>
        <w:trPr>
          <w:trHeight w:val="210"/>
        </w:trPr>
        <w:tc>
          <w:tcPr>
            <w:tcW w:w="1940" w:type="dxa"/>
            <w:vAlign w:val="bottom"/>
            <w:tcBorders>
              <w:right w:val="single" w:sz="8" w:color="123054"/>
            </w:tcBorders>
          </w:tcPr>
          <w:p>
            <w:pPr>
              <w:spacing w:after="0"/>
              <w:rPr>
                <w:sz w:val="18"/>
                <w:szCs w:val="18"/>
                <w:color w:val="auto"/>
              </w:rPr>
            </w:pPr>
          </w:p>
        </w:tc>
        <w:tc>
          <w:tcPr>
            <w:tcW w:w="1080" w:type="dxa"/>
            <w:vAlign w:val="bottom"/>
            <w:tcBorders>
              <w:right w:val="single" w:sz="8" w:color="123054"/>
            </w:tcBorders>
          </w:tcPr>
          <w:p>
            <w:pPr>
              <w:jc w:val="right"/>
              <w:ind w:right="197"/>
              <w:spacing w:after="0"/>
              <w:rPr>
                <w:sz w:val="20"/>
                <w:szCs w:val="20"/>
                <w:color w:val="auto"/>
              </w:rPr>
            </w:pPr>
            <w:r>
              <w:rPr>
                <w:rFonts w:ascii="Arial" w:cs="Arial" w:eastAsia="Arial" w:hAnsi="Arial"/>
                <w:sz w:val="13"/>
                <w:szCs w:val="13"/>
                <w:color w:val="auto"/>
              </w:rPr>
              <w:t>2/16/2022</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35,668</w:t>
            </w:r>
          </w:p>
        </w:tc>
        <w:tc>
          <w:tcPr>
            <w:tcW w:w="1020" w:type="dxa"/>
            <w:vAlign w:val="bottom"/>
            <w:tcBorders>
              <w:right w:val="single" w:sz="8" w:color="123054"/>
            </w:tcBorders>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35,668</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91.12</w:t>
            </w:r>
          </w:p>
        </w:tc>
      </w:tr>
      <w:tr>
        <w:trPr>
          <w:trHeight w:val="195"/>
        </w:trPr>
        <w:tc>
          <w:tcPr>
            <w:tcW w:w="194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Brian J. Lynch</w:t>
            </w:r>
          </w:p>
        </w:tc>
        <w:tc>
          <w:tcPr>
            <w:tcW w:w="1080" w:type="dxa"/>
            <w:vAlign w:val="bottom"/>
            <w:tcBorders>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2/28/2024</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81.95</w:t>
            </w:r>
          </w:p>
        </w:tc>
      </w:tr>
      <w:tr>
        <w:trPr>
          <w:trHeight w:val="203"/>
        </w:trPr>
        <w:tc>
          <w:tcPr>
            <w:tcW w:w="1940" w:type="dxa"/>
            <w:vAlign w:val="bottom"/>
            <w:tcBorders>
              <w:right w:val="single" w:sz="8" w:color="123054"/>
            </w:tcBorders>
            <w:shd w:val="clear" w:color="auto" w:fill="DBDBDB"/>
          </w:tcPr>
          <w:p>
            <w:pPr>
              <w:spacing w:after="0"/>
              <w:rPr>
                <w:sz w:val="17"/>
                <w:szCs w:val="17"/>
                <w:color w:val="auto"/>
              </w:rPr>
            </w:pPr>
          </w:p>
        </w:tc>
        <w:tc>
          <w:tcPr>
            <w:tcW w:w="1080" w:type="dxa"/>
            <w:vAlign w:val="bottom"/>
            <w:tcBorders>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2/28/2024</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117.28</w:t>
            </w:r>
          </w:p>
        </w:tc>
      </w:tr>
      <w:tr>
        <w:trPr>
          <w:trHeight w:val="203"/>
        </w:trPr>
        <w:tc>
          <w:tcPr>
            <w:tcW w:w="1940" w:type="dxa"/>
            <w:vAlign w:val="bottom"/>
            <w:tcBorders>
              <w:right w:val="single" w:sz="8" w:color="123054"/>
            </w:tcBorders>
            <w:shd w:val="clear" w:color="auto" w:fill="DBDBDB"/>
          </w:tcPr>
          <w:p>
            <w:pPr>
              <w:spacing w:after="0"/>
              <w:rPr>
                <w:sz w:val="17"/>
                <w:szCs w:val="17"/>
                <w:color w:val="auto"/>
              </w:rPr>
            </w:pPr>
          </w:p>
        </w:tc>
        <w:tc>
          <w:tcPr>
            <w:tcW w:w="1080" w:type="dxa"/>
            <w:vAlign w:val="bottom"/>
            <w:tcBorders>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2/27/2023</w:t>
            </w:r>
          </w:p>
        </w:tc>
        <w:tc>
          <w:tcPr>
            <w:tcW w:w="10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16,880</w:t>
            </w:r>
          </w:p>
        </w:tc>
        <w:tc>
          <w:tcPr>
            <w:tcW w:w="1020" w:type="dxa"/>
            <w:vAlign w:val="bottom"/>
            <w:tcBorders>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16,880</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74.06</w:t>
            </w:r>
          </w:p>
        </w:tc>
      </w:tr>
      <w:tr>
        <w:trPr>
          <w:trHeight w:val="210"/>
        </w:trPr>
        <w:tc>
          <w:tcPr>
            <w:tcW w:w="1940" w:type="dxa"/>
            <w:vAlign w:val="bottom"/>
            <w:tcBorders>
              <w:bottom w:val="single" w:sz="8" w:color="123054"/>
              <w:right w:val="single" w:sz="8" w:color="123054"/>
            </w:tcBorders>
            <w:shd w:val="clear" w:color="auto" w:fill="DBDBDB"/>
          </w:tcPr>
          <w:p>
            <w:pPr>
              <w:spacing w:after="0"/>
              <w:rPr>
                <w:sz w:val="18"/>
                <w:szCs w:val="18"/>
                <w:color w:val="auto"/>
              </w:rPr>
            </w:pPr>
          </w:p>
        </w:tc>
        <w:tc>
          <w:tcPr>
            <w:tcW w:w="1080" w:type="dxa"/>
            <w:vAlign w:val="bottom"/>
            <w:tcBorders>
              <w:bottom w:val="single" w:sz="8" w:color="123054"/>
              <w:right w:val="single" w:sz="8" w:color="123054"/>
            </w:tcBorders>
            <w:shd w:val="clear" w:color="auto" w:fill="DBDBDB"/>
          </w:tcPr>
          <w:p>
            <w:pPr>
              <w:jc w:val="right"/>
              <w:ind w:right="197"/>
              <w:spacing w:after="0"/>
              <w:rPr>
                <w:sz w:val="20"/>
                <w:szCs w:val="20"/>
                <w:color w:val="auto"/>
              </w:rPr>
            </w:pPr>
            <w:r>
              <w:rPr>
                <w:rFonts w:ascii="Arial" w:cs="Arial" w:eastAsia="Arial" w:hAnsi="Arial"/>
                <w:sz w:val="13"/>
                <w:szCs w:val="13"/>
                <w:color w:val="auto"/>
              </w:rPr>
              <w:t>2/16/2022</w:t>
            </w:r>
          </w:p>
        </w:tc>
        <w:tc>
          <w:tcPr>
            <w:tcW w:w="100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10,976</w:t>
            </w:r>
          </w:p>
        </w:tc>
        <w:tc>
          <w:tcPr>
            <w:tcW w:w="1020" w:type="dxa"/>
            <w:vAlign w:val="bottom"/>
            <w:tcBorders>
              <w:bottom w:val="single" w:sz="8" w:color="123054"/>
              <w:right w:val="single" w:sz="8" w:color="123054"/>
            </w:tcBorders>
            <w:shd w:val="clear" w:color="auto" w:fill="DBDBDB"/>
          </w:tcPr>
          <w:p>
            <w:pPr>
              <w:ind w:left="4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10,976</w:t>
            </w:r>
          </w:p>
        </w:tc>
        <w:tc>
          <w:tcPr>
            <w:tcW w:w="104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23054"/>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123054"/>
            </w:tcBorders>
            <w:shd w:val="clear" w:color="auto" w:fill="DBDBDB"/>
          </w:tcPr>
          <w:p>
            <w:pPr>
              <w:jc w:val="right"/>
              <w:spacing w:after="0"/>
              <w:rPr>
                <w:sz w:val="20"/>
                <w:szCs w:val="20"/>
                <w:color w:val="auto"/>
              </w:rPr>
            </w:pPr>
            <w:r>
              <w:rPr>
                <w:rFonts w:ascii="Arial" w:cs="Arial" w:eastAsia="Arial" w:hAnsi="Arial"/>
                <w:sz w:val="13"/>
                <w:szCs w:val="13"/>
                <w:color w:val="auto"/>
              </w:rPr>
              <w:t>91.12</w:t>
            </w:r>
          </w:p>
        </w:tc>
      </w:tr>
    </w:tbl>
    <w:p>
      <w:pPr>
        <w:spacing w:after="0" w:line="9" w:lineRule="exact"/>
        <w:rPr>
          <w:sz w:val="20"/>
          <w:szCs w:val="20"/>
          <w:color w:val="auto"/>
        </w:rPr>
      </w:pPr>
    </w:p>
    <w:p>
      <w:pPr>
        <w:ind w:left="1060" w:right="380" w:hanging="2"/>
        <w:spacing w:after="0" w:line="286" w:lineRule="auto"/>
        <w:tabs>
          <w:tab w:leader="none" w:pos="1319"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Reflects dollar value of all compensation earned in fiscal 2024, 2023, and 2022 pursuant to the Incentive Compensation Plan, including all annual cash incentive compensation.</w:t>
      </w:r>
    </w:p>
    <w:p>
      <w:pPr>
        <w:spacing w:after="0" w:line="8" w:lineRule="exact"/>
        <w:rPr>
          <w:rFonts w:ascii="Arial" w:cs="Arial" w:eastAsia="Arial" w:hAnsi="Arial"/>
          <w:sz w:val="13"/>
          <w:szCs w:val="13"/>
          <w:color w:val="auto"/>
        </w:rPr>
      </w:pPr>
    </w:p>
    <w:p>
      <w:pPr>
        <w:ind w:left="1320" w:hanging="262"/>
        <w:spacing w:after="0"/>
        <w:tabs>
          <w:tab w:leader="none" w:pos="1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amounts shown as “All Other Compensation” for fiscal2024 consist of the following:</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3840" w:type="dxa"/>
            <w:vAlign w:val="bottom"/>
            <w:shd w:val="clear" w:color="auto" w:fill="123054"/>
          </w:tcPr>
          <w:p>
            <w:pPr>
              <w:spacing w:after="0"/>
              <w:rPr>
                <w:sz w:val="17"/>
                <w:szCs w:val="17"/>
                <w:color w:val="auto"/>
              </w:rPr>
            </w:pPr>
          </w:p>
        </w:tc>
        <w:tc>
          <w:tcPr>
            <w:tcW w:w="1380" w:type="dxa"/>
            <w:vAlign w:val="bottom"/>
            <w:tcBorders>
              <w:right w:val="single" w:sz="8" w:color="123054"/>
            </w:tcBorders>
            <w:shd w:val="clear" w:color="auto" w:fill="123054"/>
          </w:tcPr>
          <w:p>
            <w:pPr>
              <w:spacing w:after="0"/>
              <w:rPr>
                <w:sz w:val="17"/>
                <w:szCs w:val="17"/>
                <w:color w:val="auto"/>
              </w:rPr>
            </w:pPr>
          </w:p>
        </w:tc>
        <w:tc>
          <w:tcPr>
            <w:tcW w:w="1020" w:type="dxa"/>
            <w:vAlign w:val="bottom"/>
            <w:tcBorders>
              <w:right w:val="single" w:sz="8" w:color="123054"/>
            </w:tcBorders>
            <w:shd w:val="clear" w:color="auto" w:fill="123054"/>
          </w:tcPr>
          <w:p>
            <w:pPr>
              <w:spacing w:after="0"/>
              <w:rPr>
                <w:sz w:val="17"/>
                <w:szCs w:val="17"/>
                <w:color w:val="auto"/>
              </w:rPr>
            </w:pPr>
          </w:p>
        </w:tc>
        <w:tc>
          <w:tcPr>
            <w:tcW w:w="10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Dividends</w:t>
            </w:r>
          </w:p>
        </w:tc>
        <w:tc>
          <w:tcPr>
            <w:tcW w:w="640" w:type="dxa"/>
            <w:vAlign w:val="bottom"/>
            <w:tcBorders>
              <w:right w:val="single" w:sz="8" w:color="123054"/>
            </w:tcBorders>
            <w:shd w:val="clear" w:color="auto" w:fill="123054"/>
          </w:tcPr>
          <w:p>
            <w:pPr>
              <w:spacing w:after="0"/>
              <w:rPr>
                <w:sz w:val="17"/>
                <w:szCs w:val="17"/>
                <w:color w:val="auto"/>
              </w:rPr>
            </w:pPr>
          </w:p>
        </w:tc>
        <w:tc>
          <w:tcPr>
            <w:tcW w:w="40" w:type="dxa"/>
            <w:vAlign w:val="bottom"/>
            <w:shd w:val="clear" w:color="auto" w:fill="123054"/>
          </w:tcPr>
          <w:p>
            <w:pPr>
              <w:spacing w:after="0"/>
              <w:rPr>
                <w:sz w:val="17"/>
                <w:szCs w:val="17"/>
                <w:color w:val="auto"/>
              </w:rPr>
            </w:pPr>
          </w:p>
        </w:tc>
        <w:tc>
          <w:tcPr>
            <w:tcW w:w="680" w:type="dxa"/>
            <w:vAlign w:val="bottom"/>
            <w:shd w:val="clear" w:color="auto" w:fill="12305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123054"/>
          </w:tcPr>
          <w:p>
            <w:pPr>
              <w:spacing w:after="0"/>
              <w:rPr>
                <w:sz w:val="14"/>
                <w:szCs w:val="14"/>
                <w:color w:val="auto"/>
              </w:rPr>
            </w:pPr>
          </w:p>
        </w:tc>
        <w:tc>
          <w:tcPr>
            <w:tcW w:w="1380" w:type="dxa"/>
            <w:vAlign w:val="bottom"/>
            <w:tcBorders>
              <w:right w:val="single" w:sz="8" w:color="123054"/>
            </w:tcBorders>
            <w:shd w:val="clear" w:color="auto" w:fill="123054"/>
          </w:tcPr>
          <w:p>
            <w:pPr>
              <w:spacing w:after="0"/>
              <w:rPr>
                <w:sz w:val="14"/>
                <w:szCs w:val="14"/>
                <w:color w:val="auto"/>
              </w:rPr>
            </w:pPr>
          </w:p>
        </w:tc>
        <w:tc>
          <w:tcPr>
            <w:tcW w:w="1020" w:type="dxa"/>
            <w:vAlign w:val="bottom"/>
            <w:tcBorders>
              <w:right w:val="single" w:sz="8" w:color="123054"/>
            </w:tcBorders>
            <w:vMerge w:val="restart"/>
            <w:shd w:val="clear" w:color="auto" w:fill="123054"/>
          </w:tcPr>
          <w:p>
            <w:pPr>
              <w:ind w:left="240"/>
              <w:spacing w:after="0"/>
              <w:rPr>
                <w:sz w:val="20"/>
                <w:szCs w:val="20"/>
                <w:color w:val="auto"/>
              </w:rPr>
            </w:pPr>
            <w:r>
              <w:rPr>
                <w:rFonts w:ascii="Arial" w:cs="Arial" w:eastAsia="Arial" w:hAnsi="Arial"/>
                <w:sz w:val="16"/>
                <w:szCs w:val="16"/>
                <w:b w:val="1"/>
                <w:bCs w:val="1"/>
                <w:color w:val="FBFBFB"/>
              </w:rPr>
              <w:t>401 (k)</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Paid on</w:t>
            </w:r>
          </w:p>
        </w:tc>
        <w:tc>
          <w:tcPr>
            <w:tcW w:w="640" w:type="dxa"/>
            <w:vAlign w:val="bottom"/>
            <w:tcBorders>
              <w:right w:val="single" w:sz="8" w:color="123054"/>
            </w:tcBorders>
            <w:shd w:val="clear" w:color="auto" w:fill="123054"/>
          </w:tcPr>
          <w:p>
            <w:pPr>
              <w:spacing w:after="0"/>
              <w:rPr>
                <w:sz w:val="14"/>
                <w:szCs w:val="14"/>
                <w:color w:val="auto"/>
              </w:rPr>
            </w:pPr>
          </w:p>
        </w:tc>
        <w:tc>
          <w:tcPr>
            <w:tcW w:w="40" w:type="dxa"/>
            <w:vAlign w:val="bottom"/>
            <w:shd w:val="clear" w:color="auto" w:fill="123054"/>
          </w:tcPr>
          <w:p>
            <w:pPr>
              <w:spacing w:after="0"/>
              <w:rPr>
                <w:sz w:val="14"/>
                <w:szCs w:val="14"/>
                <w:color w:val="auto"/>
              </w:rPr>
            </w:pPr>
          </w:p>
        </w:tc>
        <w:tc>
          <w:tcPr>
            <w:tcW w:w="680" w:type="dxa"/>
            <w:vAlign w:val="bottom"/>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123054"/>
          </w:tcPr>
          <w:p>
            <w:pPr>
              <w:spacing w:after="0"/>
              <w:rPr>
                <w:sz w:val="14"/>
                <w:szCs w:val="14"/>
                <w:color w:val="auto"/>
              </w:rPr>
            </w:pPr>
          </w:p>
        </w:tc>
        <w:tc>
          <w:tcPr>
            <w:tcW w:w="1380" w:type="dxa"/>
            <w:vAlign w:val="bottom"/>
            <w:tcBorders>
              <w:right w:val="single" w:sz="8" w:color="123054"/>
            </w:tcBorders>
            <w:shd w:val="clear" w:color="auto" w:fill="123054"/>
          </w:tcPr>
          <w:p>
            <w:pPr>
              <w:spacing w:after="0"/>
              <w:rPr>
                <w:sz w:val="14"/>
                <w:szCs w:val="14"/>
                <w:color w:val="auto"/>
              </w:rPr>
            </w:pPr>
          </w:p>
        </w:tc>
        <w:tc>
          <w:tcPr>
            <w:tcW w:w="1020" w:type="dxa"/>
            <w:vAlign w:val="bottom"/>
            <w:tcBorders>
              <w:right w:val="single" w:sz="8" w:color="123054"/>
            </w:tcBorders>
            <w:vMerge w:val="continue"/>
            <w:shd w:val="clear" w:color="auto" w:fill="123054"/>
          </w:tcPr>
          <w:p>
            <w:pPr>
              <w:spacing w:after="0"/>
              <w:rPr>
                <w:sz w:val="14"/>
                <w:szCs w:val="14"/>
                <w:color w:val="auto"/>
              </w:rPr>
            </w:pP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Unvested</w:t>
            </w:r>
          </w:p>
        </w:tc>
        <w:tc>
          <w:tcPr>
            <w:tcW w:w="680" w:type="dxa"/>
            <w:vAlign w:val="bottom"/>
            <w:gridSpan w:val="2"/>
            <w:vMerge w:val="restart"/>
            <w:shd w:val="clear" w:color="auto" w:fill="123054"/>
          </w:tcPr>
          <w:p>
            <w:pPr>
              <w:jc w:val="center"/>
              <w:ind w:right="80"/>
              <w:spacing w:after="0"/>
              <w:rPr>
                <w:sz w:val="20"/>
                <w:szCs w:val="20"/>
                <w:color w:val="auto"/>
              </w:rPr>
            </w:pPr>
            <w:r>
              <w:rPr>
                <w:rFonts w:ascii="Arial" w:cs="Arial" w:eastAsia="Arial" w:hAnsi="Arial"/>
                <w:sz w:val="16"/>
                <w:szCs w:val="16"/>
                <w:b w:val="1"/>
                <w:bCs w:val="1"/>
                <w:color w:val="FBFBFB"/>
              </w:rPr>
              <w:t>Other</w:t>
            </w:r>
          </w:p>
        </w:tc>
        <w:tc>
          <w:tcPr>
            <w:tcW w:w="680" w:type="dxa"/>
            <w:vAlign w:val="bottom"/>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vMerge w:val="restart"/>
            <w:shd w:val="clear" w:color="auto" w:fill="123054"/>
          </w:tcPr>
          <w:p>
            <w:pPr>
              <w:ind w:left="20"/>
              <w:spacing w:after="0"/>
              <w:rPr>
                <w:sz w:val="20"/>
                <w:szCs w:val="20"/>
                <w:color w:val="auto"/>
              </w:rPr>
            </w:pPr>
            <w:r>
              <w:rPr>
                <w:rFonts w:ascii="Arial" w:cs="Arial" w:eastAsia="Arial" w:hAnsi="Arial"/>
                <w:sz w:val="16"/>
                <w:szCs w:val="16"/>
                <w:b w:val="1"/>
                <w:bCs w:val="1"/>
                <w:color w:val="FBFBFB"/>
              </w:rPr>
              <w:t>Name</w:t>
            </w:r>
          </w:p>
        </w:tc>
        <w:tc>
          <w:tcPr>
            <w:tcW w:w="1380" w:type="dxa"/>
            <w:vAlign w:val="bottom"/>
            <w:tcBorders>
              <w:right w:val="single" w:sz="8" w:color="123054"/>
            </w:tcBorders>
            <w:shd w:val="clear" w:color="auto" w:fill="123054"/>
          </w:tcPr>
          <w:p>
            <w:pPr>
              <w:spacing w:after="0"/>
              <w:rPr>
                <w:sz w:val="14"/>
                <w:szCs w:val="14"/>
                <w:color w:val="auto"/>
              </w:rPr>
            </w:pPr>
          </w:p>
        </w:tc>
        <w:tc>
          <w:tcPr>
            <w:tcW w:w="10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8"/>
              </w:rPr>
              <w:t>Company</w:t>
            </w:r>
          </w:p>
        </w:tc>
        <w:tc>
          <w:tcPr>
            <w:tcW w:w="10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Restricted</w:t>
            </w:r>
          </w:p>
        </w:tc>
        <w:tc>
          <w:tcPr>
            <w:tcW w:w="680" w:type="dxa"/>
            <w:vAlign w:val="bottom"/>
            <w:gridSpan w:val="2"/>
            <w:vMerge w:val="continue"/>
            <w:shd w:val="clear" w:color="auto" w:fill="123054"/>
          </w:tcPr>
          <w:p>
            <w:pPr>
              <w:spacing w:after="0"/>
              <w:rPr>
                <w:sz w:val="14"/>
                <w:szCs w:val="14"/>
                <w:color w:val="auto"/>
              </w:rPr>
            </w:pPr>
          </w:p>
        </w:tc>
        <w:tc>
          <w:tcPr>
            <w:tcW w:w="680" w:type="dxa"/>
            <w:vAlign w:val="bottom"/>
            <w:vMerge w:val="restart"/>
            <w:shd w:val="clear" w:color="auto" w:fill="123054"/>
          </w:tcPr>
          <w:p>
            <w:pPr>
              <w:ind w:left="120"/>
              <w:spacing w:after="0"/>
              <w:rPr>
                <w:sz w:val="20"/>
                <w:szCs w:val="20"/>
                <w:color w:val="auto"/>
              </w:rPr>
            </w:pPr>
            <w:r>
              <w:rPr>
                <w:rFonts w:ascii="Arial" w:cs="Arial" w:eastAsia="Arial" w:hAnsi="Arial"/>
                <w:sz w:val="16"/>
                <w:szCs w:val="16"/>
                <w:b w:val="1"/>
                <w:bCs w:val="1"/>
                <w:color w:val="FBFBFB"/>
              </w:rPr>
              <w:t>Total</w:t>
            </w:r>
          </w:p>
        </w:tc>
        <w:tc>
          <w:tcPr>
            <w:tcW w:w="0" w:type="dxa"/>
            <w:vAlign w:val="bottom"/>
          </w:tcPr>
          <w:p>
            <w:pPr>
              <w:spacing w:after="0"/>
              <w:rPr>
                <w:sz w:val="1"/>
                <w:szCs w:val="1"/>
                <w:color w:val="auto"/>
              </w:rPr>
            </w:pPr>
          </w:p>
        </w:tc>
      </w:tr>
      <w:tr>
        <w:trPr>
          <w:trHeight w:val="229"/>
        </w:trPr>
        <w:tc>
          <w:tcPr>
            <w:tcW w:w="3840" w:type="dxa"/>
            <w:vAlign w:val="bottom"/>
            <w:vMerge w:val="continue"/>
            <w:shd w:val="clear" w:color="auto" w:fill="123054"/>
          </w:tcPr>
          <w:p>
            <w:pPr>
              <w:spacing w:after="0"/>
              <w:rPr>
                <w:sz w:val="19"/>
                <w:szCs w:val="19"/>
                <w:color w:val="auto"/>
              </w:rPr>
            </w:pPr>
          </w:p>
        </w:tc>
        <w:tc>
          <w:tcPr>
            <w:tcW w:w="1380" w:type="dxa"/>
            <w:vAlign w:val="bottom"/>
            <w:tcBorders>
              <w:right w:val="single" w:sz="8" w:color="123054"/>
            </w:tcBorders>
            <w:shd w:val="clear" w:color="auto" w:fill="123054"/>
          </w:tcPr>
          <w:p>
            <w:pPr>
              <w:spacing w:after="0"/>
              <w:rPr>
                <w:sz w:val="19"/>
                <w:szCs w:val="19"/>
                <w:color w:val="auto"/>
              </w:rPr>
            </w:pPr>
          </w:p>
        </w:tc>
        <w:tc>
          <w:tcPr>
            <w:tcW w:w="10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Match</w:t>
            </w:r>
          </w:p>
        </w:tc>
        <w:tc>
          <w:tcPr>
            <w:tcW w:w="10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Stock</w:t>
            </w:r>
          </w:p>
        </w:tc>
        <w:tc>
          <w:tcPr>
            <w:tcW w:w="680" w:type="dxa"/>
            <w:vAlign w:val="bottom"/>
            <w:gridSpan w:val="2"/>
            <w:shd w:val="clear" w:color="auto" w:fill="123054"/>
          </w:tcPr>
          <w:p>
            <w:pPr>
              <w:jc w:val="center"/>
              <w:ind w:right="100"/>
              <w:spacing w:after="0"/>
              <w:rPr>
                <w:sz w:val="20"/>
                <w:szCs w:val="20"/>
                <w:color w:val="auto"/>
              </w:rPr>
            </w:pPr>
            <w:r>
              <w:rPr>
                <w:rFonts w:ascii="Arial" w:cs="Arial" w:eastAsia="Arial" w:hAnsi="Arial"/>
                <w:sz w:val="16"/>
                <w:szCs w:val="16"/>
                <w:b w:val="1"/>
                <w:bCs w:val="1"/>
                <w:color w:val="FBFBFB"/>
                <w:w w:val="92"/>
              </w:rPr>
              <w:t>(i)</w:t>
            </w:r>
          </w:p>
        </w:tc>
        <w:tc>
          <w:tcPr>
            <w:tcW w:w="680" w:type="dxa"/>
            <w:vAlign w:val="bottom"/>
            <w:vMerge w:val="continue"/>
            <w:shd w:val="clear" w:color="auto" w:fill="123054"/>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20" w:type="dxa"/>
            <w:vAlign w:val="bottom"/>
            <w:tcBorders>
              <w:right w:val="single" w:sz="8" w:color="123054"/>
            </w:tcBorders>
            <w:gridSpan w:val="2"/>
          </w:tcPr>
          <w:p>
            <w:pPr>
              <w:ind w:left="40"/>
              <w:spacing w:after="0"/>
              <w:rPr>
                <w:sz w:val="20"/>
                <w:szCs w:val="20"/>
                <w:color w:val="auto"/>
              </w:rPr>
            </w:pPr>
            <w:r>
              <w:rPr>
                <w:rFonts w:ascii="Arial" w:cs="Arial" w:eastAsia="Arial" w:hAnsi="Arial"/>
                <w:sz w:val="13"/>
                <w:szCs w:val="13"/>
                <w:color w:val="auto"/>
              </w:rPr>
              <w:t>Richard F. Westenberger</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$13,800</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$159,098</w:t>
            </w:r>
          </w:p>
        </w:tc>
        <w:tc>
          <w:tcPr>
            <w:tcW w:w="6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$3,599</w:t>
            </w:r>
          </w:p>
        </w:tc>
        <w:tc>
          <w:tcPr>
            <w:tcW w:w="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auto"/>
              </w:rPr>
              <w:t>$176,497</w:t>
            </w:r>
          </w:p>
        </w:tc>
        <w:tc>
          <w:tcPr>
            <w:tcW w:w="0" w:type="dxa"/>
            <w:vAlign w:val="bottom"/>
          </w:tcPr>
          <w:p>
            <w:pPr>
              <w:spacing w:after="0"/>
              <w:rPr>
                <w:sz w:val="1"/>
                <w:szCs w:val="1"/>
                <w:color w:val="auto"/>
              </w:rPr>
            </w:pPr>
          </w:p>
        </w:tc>
      </w:tr>
      <w:tr>
        <w:trPr>
          <w:trHeight w:val="210"/>
        </w:trPr>
        <w:tc>
          <w:tcPr>
            <w:tcW w:w="5220" w:type="dxa"/>
            <w:vAlign w:val="bottom"/>
            <w:tcBorders>
              <w:right w:val="single" w:sz="8" w:color="123054"/>
            </w:tcBorders>
            <w:gridSpan w:val="2"/>
            <w:shd w:val="clear" w:color="auto" w:fill="DBDBDB"/>
          </w:tcPr>
          <w:p>
            <w:pPr>
              <w:ind w:left="40"/>
              <w:spacing w:after="0"/>
              <w:rPr>
                <w:sz w:val="20"/>
                <w:szCs w:val="20"/>
                <w:color w:val="auto"/>
              </w:rPr>
            </w:pPr>
            <w:r>
              <w:rPr>
                <w:rFonts w:ascii="Arial" w:cs="Arial" w:eastAsia="Arial" w:hAnsi="Arial"/>
                <w:sz w:val="13"/>
                <w:szCs w:val="13"/>
                <w:color w:val="auto"/>
              </w:rPr>
              <w:t>Kendra D. Krugman</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$13,800</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$164,762</w:t>
            </w:r>
          </w:p>
        </w:tc>
        <w:tc>
          <w:tcPr>
            <w:tcW w:w="6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$2,249</w:t>
            </w:r>
          </w:p>
        </w:tc>
        <w:tc>
          <w:tcPr>
            <w:tcW w:w="40" w:type="dxa"/>
            <w:vAlign w:val="bottom"/>
            <w:shd w:val="clear" w:color="auto" w:fill="DBDBDB"/>
          </w:tcPr>
          <w:p>
            <w:pPr>
              <w:spacing w:after="0"/>
              <w:rPr>
                <w:sz w:val="18"/>
                <w:szCs w:val="18"/>
                <w:color w:val="auto"/>
              </w:rPr>
            </w:pPr>
          </w:p>
        </w:tc>
        <w:tc>
          <w:tcPr>
            <w:tcW w:w="680" w:type="dxa"/>
            <w:vAlign w:val="bottom"/>
            <w:shd w:val="clear" w:color="auto" w:fill="DBDBDB"/>
          </w:tcPr>
          <w:p>
            <w:pPr>
              <w:ind w:left="80"/>
              <w:spacing w:after="0"/>
              <w:rPr>
                <w:sz w:val="20"/>
                <w:szCs w:val="20"/>
                <w:color w:val="auto"/>
              </w:rPr>
            </w:pPr>
            <w:r>
              <w:rPr>
                <w:rFonts w:ascii="Arial" w:cs="Arial" w:eastAsia="Arial" w:hAnsi="Arial"/>
                <w:sz w:val="13"/>
                <w:szCs w:val="13"/>
                <w:color w:val="auto"/>
              </w:rPr>
              <w:t>$180,811</w:t>
            </w:r>
          </w:p>
        </w:tc>
        <w:tc>
          <w:tcPr>
            <w:tcW w:w="0" w:type="dxa"/>
            <w:vAlign w:val="bottom"/>
          </w:tcPr>
          <w:p>
            <w:pPr>
              <w:spacing w:after="0"/>
              <w:rPr>
                <w:sz w:val="1"/>
                <w:szCs w:val="1"/>
                <w:color w:val="auto"/>
              </w:rPr>
            </w:pPr>
          </w:p>
        </w:tc>
      </w:tr>
      <w:tr>
        <w:trPr>
          <w:trHeight w:val="195"/>
        </w:trPr>
        <w:tc>
          <w:tcPr>
            <w:tcW w:w="5220" w:type="dxa"/>
            <w:vAlign w:val="bottom"/>
            <w:tcBorders>
              <w:right w:val="single" w:sz="8" w:color="123054"/>
            </w:tcBorders>
            <w:gridSpan w:val="2"/>
          </w:tcPr>
          <w:p>
            <w:pPr>
              <w:ind w:left="40"/>
              <w:spacing w:after="0"/>
              <w:rPr>
                <w:sz w:val="20"/>
                <w:szCs w:val="20"/>
                <w:color w:val="auto"/>
              </w:rPr>
            </w:pPr>
            <w:r>
              <w:rPr>
                <w:rFonts w:ascii="Arial" w:cs="Arial" w:eastAsia="Arial" w:hAnsi="Arial"/>
                <w:sz w:val="13"/>
                <w:szCs w:val="13"/>
                <w:color w:val="auto"/>
              </w:rPr>
              <w:t>Allison M. Peterson</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$8,077</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3"/>
              </w:rPr>
              <w:t>$63,872</w:t>
            </w:r>
          </w:p>
        </w:tc>
        <w:tc>
          <w:tcPr>
            <w:tcW w:w="6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$152,155</w:t>
            </w:r>
          </w:p>
        </w:tc>
        <w:tc>
          <w:tcPr>
            <w:tcW w:w="40" w:type="dxa"/>
            <w:vAlign w:val="bottom"/>
          </w:tcPr>
          <w:p>
            <w:pPr>
              <w:spacing w:after="0"/>
              <w:rPr>
                <w:sz w:val="17"/>
                <w:szCs w:val="17"/>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auto"/>
              </w:rPr>
              <w:t>$224,104</w:t>
            </w:r>
          </w:p>
        </w:tc>
        <w:tc>
          <w:tcPr>
            <w:tcW w:w="0" w:type="dxa"/>
            <w:vAlign w:val="bottom"/>
          </w:tcPr>
          <w:p>
            <w:pPr>
              <w:spacing w:after="0"/>
              <w:rPr>
                <w:sz w:val="1"/>
                <w:szCs w:val="1"/>
                <w:color w:val="auto"/>
              </w:rPr>
            </w:pPr>
          </w:p>
        </w:tc>
      </w:tr>
      <w:tr>
        <w:trPr>
          <w:trHeight w:val="210"/>
        </w:trPr>
        <w:tc>
          <w:tcPr>
            <w:tcW w:w="5220" w:type="dxa"/>
            <w:vAlign w:val="bottom"/>
            <w:tcBorders>
              <w:right w:val="single" w:sz="8" w:color="123054"/>
            </w:tcBorders>
            <w:gridSpan w:val="2"/>
            <w:shd w:val="clear" w:color="auto" w:fill="DBDBDB"/>
          </w:tcPr>
          <w:p>
            <w:pPr>
              <w:ind w:left="40"/>
              <w:spacing w:after="0"/>
              <w:rPr>
                <w:sz w:val="20"/>
                <w:szCs w:val="20"/>
                <w:color w:val="auto"/>
              </w:rPr>
            </w:pPr>
            <w:r>
              <w:rPr>
                <w:rFonts w:ascii="Arial" w:cs="Arial" w:eastAsia="Arial" w:hAnsi="Arial"/>
                <w:sz w:val="13"/>
                <w:szCs w:val="13"/>
                <w:color w:val="auto"/>
              </w:rPr>
              <w:t>Raghu R. Sagi</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$7,385</w:t>
            </w:r>
          </w:p>
        </w:tc>
        <w:tc>
          <w:tcPr>
            <w:tcW w:w="10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$34,762</w:t>
            </w:r>
          </w:p>
        </w:tc>
        <w:tc>
          <w:tcPr>
            <w:tcW w:w="6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$1,333</w:t>
            </w:r>
          </w:p>
        </w:tc>
        <w:tc>
          <w:tcPr>
            <w:tcW w:w="40" w:type="dxa"/>
            <w:vAlign w:val="bottom"/>
            <w:shd w:val="clear" w:color="auto" w:fill="DBDBDB"/>
          </w:tcPr>
          <w:p>
            <w:pPr>
              <w:spacing w:after="0"/>
              <w:rPr>
                <w:sz w:val="18"/>
                <w:szCs w:val="18"/>
                <w:color w:val="auto"/>
              </w:rPr>
            </w:pPr>
          </w:p>
        </w:tc>
        <w:tc>
          <w:tcPr>
            <w:tcW w:w="680" w:type="dxa"/>
            <w:vAlign w:val="bottom"/>
            <w:shd w:val="clear" w:color="auto" w:fill="DBDBDB"/>
          </w:tcPr>
          <w:p>
            <w:pPr>
              <w:ind w:left="120"/>
              <w:spacing w:after="0"/>
              <w:rPr>
                <w:sz w:val="20"/>
                <w:szCs w:val="20"/>
                <w:color w:val="auto"/>
              </w:rPr>
            </w:pPr>
            <w:r>
              <w:rPr>
                <w:rFonts w:ascii="Arial" w:cs="Arial" w:eastAsia="Arial" w:hAnsi="Arial"/>
                <w:sz w:val="13"/>
                <w:szCs w:val="13"/>
                <w:color w:val="auto"/>
              </w:rPr>
              <w:t>$43,480</w:t>
            </w:r>
          </w:p>
        </w:tc>
        <w:tc>
          <w:tcPr>
            <w:tcW w:w="0" w:type="dxa"/>
            <w:vAlign w:val="bottom"/>
          </w:tcPr>
          <w:p>
            <w:pPr>
              <w:spacing w:after="0"/>
              <w:rPr>
                <w:sz w:val="1"/>
                <w:szCs w:val="1"/>
                <w:color w:val="auto"/>
              </w:rPr>
            </w:pPr>
          </w:p>
        </w:tc>
      </w:tr>
      <w:tr>
        <w:trPr>
          <w:trHeight w:val="195"/>
        </w:trPr>
        <w:tc>
          <w:tcPr>
            <w:tcW w:w="5220" w:type="dxa"/>
            <w:vAlign w:val="bottom"/>
            <w:tcBorders>
              <w:right w:val="single" w:sz="8" w:color="123054"/>
            </w:tcBorders>
            <w:gridSpan w:val="2"/>
          </w:tcPr>
          <w:p>
            <w:pPr>
              <w:ind w:left="40"/>
              <w:spacing w:after="0"/>
              <w:rPr>
                <w:sz w:val="20"/>
                <w:szCs w:val="20"/>
                <w:color w:val="auto"/>
              </w:rPr>
            </w:pPr>
            <w:r>
              <w:rPr>
                <w:rFonts w:ascii="Arial" w:cs="Arial" w:eastAsia="Arial" w:hAnsi="Arial"/>
                <w:sz w:val="13"/>
                <w:szCs w:val="13"/>
                <w:color w:val="auto"/>
              </w:rPr>
              <w:t>Michael D. Casey</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$13,800</w:t>
            </w:r>
          </w:p>
        </w:tc>
        <w:tc>
          <w:tcPr>
            <w:tcW w:w="10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$723,818</w:t>
            </w:r>
          </w:p>
        </w:tc>
        <w:tc>
          <w:tcPr>
            <w:tcW w:w="6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$5,834</w:t>
            </w:r>
          </w:p>
        </w:tc>
        <w:tc>
          <w:tcPr>
            <w:tcW w:w="40" w:type="dxa"/>
            <w:vAlign w:val="bottom"/>
          </w:tcPr>
          <w:p>
            <w:pPr>
              <w:spacing w:after="0"/>
              <w:rPr>
                <w:sz w:val="17"/>
                <w:szCs w:val="17"/>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auto"/>
              </w:rPr>
              <w:t>$743,452</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123054"/>
              <w:right w:val="single" w:sz="8" w:color="123054"/>
            </w:tcBorders>
            <w:gridSpan w:val="2"/>
            <w:shd w:val="clear" w:color="auto" w:fill="DBDBDB"/>
          </w:tcPr>
          <w:p>
            <w:pPr>
              <w:ind w:left="40"/>
              <w:spacing w:after="0"/>
              <w:rPr>
                <w:sz w:val="20"/>
                <w:szCs w:val="20"/>
                <w:color w:val="auto"/>
              </w:rPr>
            </w:pPr>
            <w:r>
              <w:rPr>
                <w:rFonts w:ascii="Arial" w:cs="Arial" w:eastAsia="Arial" w:hAnsi="Arial"/>
                <w:sz w:val="13"/>
                <w:szCs w:val="13"/>
                <w:color w:val="auto"/>
              </w:rPr>
              <w:t>Brian J. Lynch</w:t>
            </w:r>
          </w:p>
        </w:tc>
        <w:tc>
          <w:tcPr>
            <w:tcW w:w="102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04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$89,139</w:t>
            </w:r>
          </w:p>
        </w:tc>
        <w:tc>
          <w:tcPr>
            <w:tcW w:w="64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$1,250,950</w:t>
            </w:r>
          </w:p>
        </w:tc>
        <w:tc>
          <w:tcPr>
            <w:tcW w:w="40" w:type="dxa"/>
            <w:vAlign w:val="bottom"/>
            <w:tcBorders>
              <w:bottom w:val="single" w:sz="8" w:color="123054"/>
            </w:tcBorders>
            <w:shd w:val="clear" w:color="auto" w:fill="DBDBDB"/>
          </w:tcPr>
          <w:p>
            <w:pPr>
              <w:spacing w:after="0"/>
              <w:rPr>
                <w:sz w:val="17"/>
                <w:szCs w:val="17"/>
                <w:color w:val="auto"/>
              </w:rPr>
            </w:pPr>
          </w:p>
        </w:tc>
        <w:tc>
          <w:tcPr>
            <w:tcW w:w="680" w:type="dxa"/>
            <w:vAlign w:val="bottom"/>
            <w:tcBorders>
              <w:bottom w:val="single" w:sz="8" w:color="123054"/>
            </w:tcBorders>
            <w:shd w:val="clear" w:color="auto" w:fill="DBDBDB"/>
          </w:tcPr>
          <w:p>
            <w:pPr>
              <w:ind w:left="40"/>
              <w:spacing w:after="0"/>
              <w:rPr>
                <w:sz w:val="20"/>
                <w:szCs w:val="20"/>
                <w:color w:val="auto"/>
              </w:rPr>
            </w:pPr>
            <w:r>
              <w:rPr>
                <w:rFonts w:ascii="Arial" w:cs="Arial" w:eastAsia="Arial" w:hAnsi="Arial"/>
                <w:sz w:val="13"/>
                <w:szCs w:val="13"/>
                <w:color w:val="auto"/>
                <w:w w:val="95"/>
              </w:rPr>
              <w:t>$1,340,089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620" w:right="420" w:hanging="387"/>
        <w:spacing w:after="0" w:line="226" w:lineRule="auto"/>
        <w:tabs>
          <w:tab w:leader="none" w:pos="614"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These amounts include imputed income from health and life insurance contributions, imputed income from bring-your-own technology to work programs, and benefits from healthcare programs, each of which are available to all employees, as well as: (1) $136,151 in relocation benefits for Ms. Peterson and (2) $1,250,000 in consulting fees for Mr. Lynch.</w:t>
      </w:r>
    </w:p>
    <w:p>
      <w:pPr>
        <w:sectPr>
          <w:pgSz w:w="11900" w:h="16838" w:orient="portrait"/>
          <w:cols w:equalWidth="0" w:num="1">
            <w:col w:w="9360"/>
          </w:cols>
          <w:pgMar w:left="1440" w:top="203" w:right="10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55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787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7877175"/>
                    </a:xfrm>
                    <a:prstGeom prst="rect">
                      <a:avLst/>
                    </a:prstGeom>
                    <a:noFill/>
                  </pic:spPr>
                </pic:pic>
              </a:graphicData>
            </a:graphic>
          </wp:anchor>
        </w:drawing>
      </w:r>
    </w:p>
    <w:p>
      <w:pPr>
        <w:sectPr>
          <w:pgSz w:w="11900" w:h="16838" w:orient="portrait"/>
          <w:cols w:equalWidth="0" w:num="1">
            <w:col w:w="9240"/>
          </w:cols>
          <w:pgMar w:left="1440" w:top="1440"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FISCAL2024 GRANTS OF PLAN-BASED AWARDS</w:t>
      </w:r>
    </w:p>
    <w:p>
      <w:pPr>
        <w:spacing w:after="0" w:line="181" w:lineRule="exact"/>
        <w:rPr>
          <w:sz w:val="20"/>
          <w:szCs w:val="20"/>
          <w:color w:val="auto"/>
        </w:rPr>
      </w:pPr>
    </w:p>
    <w:p>
      <w:pPr>
        <w:ind w:left="140" w:right="140"/>
        <w:spacing w:after="0" w:line="255" w:lineRule="auto"/>
        <w:rPr>
          <w:sz w:val="20"/>
          <w:szCs w:val="20"/>
          <w:color w:val="auto"/>
        </w:rPr>
      </w:pPr>
      <w:r>
        <w:rPr>
          <w:rFonts w:ascii="Arial" w:cs="Arial" w:eastAsia="Arial" w:hAnsi="Arial"/>
          <w:sz w:val="19"/>
          <w:szCs w:val="19"/>
          <w:color w:val="auto"/>
        </w:rPr>
        <w:t>The following table provides information concerning each grant of plan-based awards made to an NEO in fiscal 2024. This includes incentive compensation awards granted under our Incentive Compensation Plan and restricted stock awards granted under our Equity Incentive Plan. The threshold, target, and maximum columns reflect the range of estimated payouts under these plans for fiscal2024. The last column reports the aggregate grant date fair value of all awards made in fiscal2024 as if they were fully vested on the grant date, computed in accordance with FASB ASC Topic 718.</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00" w:type="dxa"/>
            <w:vAlign w:val="bottom"/>
            <w:tcBorders>
              <w:right w:val="single" w:sz="8" w:color="123054"/>
            </w:tcBorders>
            <w:shd w:val="clear" w:color="auto" w:fill="123054"/>
          </w:tcPr>
          <w:p>
            <w:pPr>
              <w:spacing w:after="0"/>
              <w:rPr>
                <w:sz w:val="17"/>
                <w:szCs w:val="17"/>
                <w:color w:val="auto"/>
              </w:rPr>
            </w:pPr>
          </w:p>
        </w:tc>
        <w:tc>
          <w:tcPr>
            <w:tcW w:w="880" w:type="dxa"/>
            <w:vAlign w:val="bottom"/>
            <w:tcBorders>
              <w:right w:val="single" w:sz="8" w:color="123054"/>
            </w:tcBorders>
            <w:shd w:val="clear" w:color="auto" w:fill="123054"/>
          </w:tcPr>
          <w:p>
            <w:pPr>
              <w:spacing w:after="0"/>
              <w:rPr>
                <w:sz w:val="17"/>
                <w:szCs w:val="17"/>
                <w:color w:val="auto"/>
              </w:rPr>
            </w:pPr>
          </w:p>
        </w:tc>
        <w:tc>
          <w:tcPr>
            <w:tcW w:w="800" w:type="dxa"/>
            <w:vAlign w:val="bottom"/>
            <w:tcBorders>
              <w:right w:val="single" w:sz="8" w:color="123054"/>
            </w:tcBorders>
            <w:shd w:val="clear" w:color="auto" w:fill="123054"/>
          </w:tcPr>
          <w:p>
            <w:pPr>
              <w:spacing w:after="0"/>
              <w:rPr>
                <w:sz w:val="17"/>
                <w:szCs w:val="17"/>
                <w:color w:val="auto"/>
              </w:rPr>
            </w:pPr>
          </w:p>
        </w:tc>
        <w:tc>
          <w:tcPr>
            <w:tcW w:w="940" w:type="dxa"/>
            <w:vAlign w:val="bottom"/>
            <w:gridSpan w:val="2"/>
            <w:shd w:val="clear" w:color="auto" w:fill="123054"/>
          </w:tcPr>
          <w:p>
            <w:pPr>
              <w:jc w:val="center"/>
              <w:ind w:right="60"/>
              <w:spacing w:after="0"/>
              <w:rPr>
                <w:sz w:val="20"/>
                <w:szCs w:val="20"/>
                <w:color w:val="auto"/>
              </w:rPr>
            </w:pPr>
            <w:r>
              <w:rPr>
                <w:rFonts w:ascii="Arial" w:cs="Arial" w:eastAsia="Arial" w:hAnsi="Arial"/>
                <w:sz w:val="16"/>
                <w:szCs w:val="16"/>
                <w:b w:val="1"/>
                <w:bCs w:val="1"/>
                <w:color w:val="FBFBFB"/>
                <w:w w:val="99"/>
              </w:rPr>
              <w:t>Estimated</w:t>
            </w:r>
          </w:p>
        </w:tc>
        <w:tc>
          <w:tcPr>
            <w:tcW w:w="740" w:type="dxa"/>
            <w:vAlign w:val="bottom"/>
            <w:tcBorders>
              <w:right w:val="single" w:sz="8" w:color="123054"/>
            </w:tcBorders>
            <w:shd w:val="clear" w:color="auto" w:fill="123054"/>
          </w:tcPr>
          <w:p>
            <w:pPr>
              <w:spacing w:after="0"/>
              <w:rPr>
                <w:sz w:val="17"/>
                <w:szCs w:val="17"/>
                <w:color w:val="auto"/>
              </w:rPr>
            </w:pPr>
          </w:p>
        </w:tc>
        <w:tc>
          <w:tcPr>
            <w:tcW w:w="820" w:type="dxa"/>
            <w:vAlign w:val="bottom"/>
            <w:tcBorders>
              <w:right w:val="single" w:sz="8" w:color="123054"/>
            </w:tcBorders>
            <w:shd w:val="clear" w:color="auto" w:fill="123054"/>
          </w:tcPr>
          <w:p>
            <w:pPr>
              <w:spacing w:after="0"/>
              <w:rPr>
                <w:sz w:val="17"/>
                <w:szCs w:val="17"/>
                <w:color w:val="auto"/>
              </w:rPr>
            </w:pP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Estimated</w:t>
            </w:r>
          </w:p>
        </w:tc>
        <w:tc>
          <w:tcPr>
            <w:tcW w:w="800" w:type="dxa"/>
            <w:vAlign w:val="bottom"/>
            <w:tcBorders>
              <w:right w:val="single" w:sz="8" w:color="123054"/>
            </w:tcBorders>
            <w:shd w:val="clear" w:color="auto" w:fill="123054"/>
          </w:tcPr>
          <w:p>
            <w:pPr>
              <w:spacing w:after="0"/>
              <w:rPr>
                <w:sz w:val="17"/>
                <w:szCs w:val="17"/>
                <w:color w:val="auto"/>
              </w:rPr>
            </w:pPr>
          </w:p>
        </w:tc>
        <w:tc>
          <w:tcPr>
            <w:tcW w:w="800" w:type="dxa"/>
            <w:vAlign w:val="bottom"/>
            <w:tcBorders>
              <w:right w:val="single" w:sz="8" w:color="123054"/>
            </w:tcBorders>
            <w:shd w:val="clear" w:color="auto" w:fill="123054"/>
          </w:tcPr>
          <w:p>
            <w:pPr>
              <w:spacing w:after="0"/>
              <w:rPr>
                <w:sz w:val="17"/>
                <w:szCs w:val="17"/>
                <w:color w:val="auto"/>
              </w:rPr>
            </w:pPr>
          </w:p>
        </w:tc>
        <w:tc>
          <w:tcPr>
            <w:tcW w:w="1000" w:type="dxa"/>
            <w:vAlign w:val="bottom"/>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w w:val="98"/>
              </w:rPr>
              <w:t>Grant</w:t>
            </w: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80"/>
              <w:spacing w:after="0" w:line="162" w:lineRule="exact"/>
              <w:rPr>
                <w:sz w:val="20"/>
                <w:szCs w:val="20"/>
                <w:color w:val="auto"/>
              </w:rPr>
            </w:pPr>
            <w:r>
              <w:rPr>
                <w:rFonts w:ascii="Arial" w:cs="Arial" w:eastAsia="Arial" w:hAnsi="Arial"/>
                <w:sz w:val="16"/>
                <w:szCs w:val="16"/>
                <w:b w:val="1"/>
                <w:bCs w:val="1"/>
                <w:color w:val="FBFBFB"/>
              </w:rPr>
              <w:t>Future</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Future</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vMerge w:val="continue"/>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60"/>
              <w:spacing w:after="0" w:line="162" w:lineRule="exact"/>
              <w:rPr>
                <w:sz w:val="20"/>
                <w:szCs w:val="20"/>
                <w:color w:val="auto"/>
              </w:rPr>
            </w:pPr>
            <w:r>
              <w:rPr>
                <w:rFonts w:ascii="Arial" w:cs="Arial" w:eastAsia="Arial" w:hAnsi="Arial"/>
                <w:sz w:val="16"/>
                <w:szCs w:val="16"/>
                <w:b w:val="1"/>
                <w:bCs w:val="1"/>
                <w:color w:val="FBFBFB"/>
              </w:rPr>
              <w:t>Payouts</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Payouts</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Date Fair</w:t>
            </w: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80"/>
              <w:spacing w:after="0" w:line="162" w:lineRule="exact"/>
              <w:rPr>
                <w:sz w:val="20"/>
                <w:szCs w:val="20"/>
                <w:color w:val="auto"/>
              </w:rPr>
            </w:pPr>
            <w:r>
              <w:rPr>
                <w:rFonts w:ascii="Arial" w:cs="Arial" w:eastAsia="Arial" w:hAnsi="Arial"/>
                <w:sz w:val="16"/>
                <w:szCs w:val="16"/>
                <w:b w:val="1"/>
                <w:bCs w:val="1"/>
                <w:color w:val="FBFBFB"/>
                <w:w w:val="99"/>
              </w:rPr>
              <w:t>Under</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Under</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Value of</w:t>
            </w: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40"/>
              <w:spacing w:after="0" w:line="162" w:lineRule="exact"/>
              <w:rPr>
                <w:sz w:val="20"/>
                <w:szCs w:val="20"/>
                <w:color w:val="auto"/>
              </w:rPr>
            </w:pPr>
            <w:r>
              <w:rPr>
                <w:rFonts w:ascii="Arial" w:cs="Arial" w:eastAsia="Arial" w:hAnsi="Arial"/>
                <w:sz w:val="16"/>
                <w:szCs w:val="16"/>
                <w:b w:val="1"/>
                <w:bCs w:val="1"/>
                <w:color w:val="FBFBFB"/>
              </w:rPr>
              <w:t>Non-Equity</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Equity</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Stock and</w:t>
            </w: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80"/>
              <w:spacing w:after="0" w:line="162" w:lineRule="exact"/>
              <w:rPr>
                <w:sz w:val="20"/>
                <w:szCs w:val="20"/>
                <w:color w:val="auto"/>
              </w:rPr>
            </w:pPr>
            <w:r>
              <w:rPr>
                <w:rFonts w:ascii="Arial" w:cs="Arial" w:eastAsia="Arial" w:hAnsi="Arial"/>
                <w:sz w:val="16"/>
                <w:szCs w:val="16"/>
                <w:b w:val="1"/>
                <w:bCs w:val="1"/>
                <w:color w:val="FBFBFB"/>
              </w:rPr>
              <w:t>Incentive</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Incentive</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Option</w:t>
            </w:r>
          </w:p>
        </w:tc>
        <w:tc>
          <w:tcPr>
            <w:tcW w:w="0" w:type="dxa"/>
            <w:vAlign w:val="bottom"/>
          </w:tcPr>
          <w:p>
            <w:pPr>
              <w:spacing w:after="0"/>
              <w:rPr>
                <w:sz w:val="1"/>
                <w:szCs w:val="1"/>
                <w:color w:val="auto"/>
              </w:rPr>
            </w:pPr>
          </w:p>
        </w:tc>
      </w:tr>
      <w:tr>
        <w:trPr>
          <w:trHeight w:val="162"/>
        </w:trPr>
        <w:tc>
          <w:tcPr>
            <w:tcW w:w="90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940" w:type="dxa"/>
            <w:vAlign w:val="bottom"/>
            <w:gridSpan w:val="2"/>
            <w:shd w:val="clear" w:color="auto" w:fill="123054"/>
          </w:tcPr>
          <w:p>
            <w:pPr>
              <w:jc w:val="center"/>
              <w:ind w:right="80"/>
              <w:spacing w:after="0" w:line="162" w:lineRule="exact"/>
              <w:rPr>
                <w:sz w:val="20"/>
                <w:szCs w:val="20"/>
                <w:color w:val="auto"/>
              </w:rPr>
            </w:pPr>
            <w:r>
              <w:rPr>
                <w:rFonts w:ascii="Arial" w:cs="Arial" w:eastAsia="Arial" w:hAnsi="Arial"/>
                <w:sz w:val="16"/>
                <w:szCs w:val="16"/>
                <w:b w:val="1"/>
                <w:bCs w:val="1"/>
                <w:color w:val="FBFBFB"/>
              </w:rPr>
              <w:t>Plan</w:t>
            </w:r>
          </w:p>
        </w:tc>
        <w:tc>
          <w:tcPr>
            <w:tcW w:w="740" w:type="dxa"/>
            <w:vAlign w:val="bottom"/>
            <w:tcBorders>
              <w:right w:val="single" w:sz="8" w:color="123054"/>
            </w:tcBorders>
            <w:shd w:val="clear" w:color="auto" w:fill="123054"/>
          </w:tcPr>
          <w:p>
            <w:pPr>
              <w:spacing w:after="0"/>
              <w:rPr>
                <w:sz w:val="14"/>
                <w:szCs w:val="14"/>
                <w:color w:val="auto"/>
              </w:rPr>
            </w:pPr>
          </w:p>
        </w:tc>
        <w:tc>
          <w:tcPr>
            <w:tcW w:w="820" w:type="dxa"/>
            <w:vAlign w:val="bottom"/>
            <w:tcBorders>
              <w:right w:val="single" w:sz="8" w:color="123054"/>
            </w:tcBorders>
            <w:shd w:val="clear" w:color="auto" w:fill="123054"/>
          </w:tcPr>
          <w:p>
            <w:pPr>
              <w:spacing w:after="0"/>
              <w:rPr>
                <w:sz w:val="14"/>
                <w:szCs w:val="14"/>
                <w:color w:val="auto"/>
              </w:rPr>
            </w:pPr>
          </w:p>
        </w:tc>
        <w:tc>
          <w:tcPr>
            <w:tcW w:w="8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Plan</w:t>
            </w:r>
          </w:p>
        </w:tc>
        <w:tc>
          <w:tcPr>
            <w:tcW w:w="800" w:type="dxa"/>
            <w:vAlign w:val="bottom"/>
            <w:tcBorders>
              <w:right w:val="single" w:sz="8" w:color="123054"/>
            </w:tcBorders>
            <w:shd w:val="clear" w:color="auto" w:fill="123054"/>
          </w:tcPr>
          <w:p>
            <w:pPr>
              <w:spacing w:after="0"/>
              <w:rPr>
                <w:sz w:val="14"/>
                <w:szCs w:val="14"/>
                <w:color w:val="auto"/>
              </w:rPr>
            </w:pPr>
          </w:p>
        </w:tc>
        <w:tc>
          <w:tcPr>
            <w:tcW w:w="80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Name</w:t>
            </w:r>
          </w:p>
        </w:tc>
        <w:tc>
          <w:tcPr>
            <w:tcW w:w="0" w:type="dxa"/>
            <w:vAlign w:val="bottom"/>
          </w:tcPr>
          <w:p>
            <w:pPr>
              <w:spacing w:after="0"/>
              <w:rPr>
                <w:sz w:val="1"/>
                <w:szCs w:val="1"/>
                <w:color w:val="auto"/>
              </w:rPr>
            </w:pPr>
          </w:p>
        </w:tc>
      </w:tr>
      <w:tr>
        <w:trPr>
          <w:trHeight w:val="216"/>
        </w:trPr>
        <w:tc>
          <w:tcPr>
            <w:tcW w:w="900" w:type="dxa"/>
            <w:vAlign w:val="bottom"/>
            <w:tcBorders>
              <w:right w:val="single" w:sz="8" w:color="123054"/>
            </w:tcBorders>
            <w:shd w:val="clear" w:color="auto" w:fill="123054"/>
          </w:tcPr>
          <w:p>
            <w:pPr>
              <w:spacing w:after="0"/>
              <w:rPr>
                <w:sz w:val="18"/>
                <w:szCs w:val="18"/>
                <w:color w:val="auto"/>
              </w:rPr>
            </w:pPr>
          </w:p>
        </w:tc>
        <w:tc>
          <w:tcPr>
            <w:tcW w:w="880" w:type="dxa"/>
            <w:vAlign w:val="bottom"/>
            <w:tcBorders>
              <w:right w:val="single" w:sz="8" w:color="123054"/>
            </w:tcBorders>
            <w:shd w:val="clear" w:color="auto" w:fill="123054"/>
          </w:tcPr>
          <w:p>
            <w:pPr>
              <w:spacing w:after="0"/>
              <w:rPr>
                <w:sz w:val="18"/>
                <w:szCs w:val="18"/>
                <w:color w:val="auto"/>
              </w:rPr>
            </w:pPr>
          </w:p>
        </w:tc>
        <w:tc>
          <w:tcPr>
            <w:tcW w:w="800" w:type="dxa"/>
            <w:vAlign w:val="bottom"/>
            <w:tcBorders>
              <w:right w:val="single" w:sz="8" w:color="123054"/>
            </w:tcBorders>
            <w:shd w:val="clear" w:color="auto" w:fill="123054"/>
          </w:tcPr>
          <w:p>
            <w:pPr>
              <w:spacing w:after="0"/>
              <w:rPr>
                <w:sz w:val="18"/>
                <w:szCs w:val="18"/>
                <w:color w:val="auto"/>
              </w:rPr>
            </w:pPr>
          </w:p>
        </w:tc>
        <w:tc>
          <w:tcPr>
            <w:tcW w:w="940" w:type="dxa"/>
            <w:vAlign w:val="bottom"/>
            <w:gridSpan w:val="2"/>
            <w:shd w:val="clear" w:color="auto" w:fill="123054"/>
          </w:tcPr>
          <w:p>
            <w:pPr>
              <w:jc w:val="center"/>
              <w:ind w:right="40"/>
              <w:spacing w:after="0"/>
              <w:rPr>
                <w:sz w:val="20"/>
                <w:szCs w:val="20"/>
                <w:color w:val="auto"/>
              </w:rPr>
            </w:pPr>
            <w:r>
              <w:rPr>
                <w:rFonts w:ascii="Arial" w:cs="Arial" w:eastAsia="Arial" w:hAnsi="Arial"/>
                <w:sz w:val="16"/>
                <w:szCs w:val="16"/>
                <w:b w:val="1"/>
                <w:bCs w:val="1"/>
                <w:color w:val="FBFBFB"/>
              </w:rPr>
              <w:t>Awards (a)</w:t>
            </w:r>
          </w:p>
        </w:tc>
        <w:tc>
          <w:tcPr>
            <w:tcW w:w="740" w:type="dxa"/>
            <w:vAlign w:val="bottom"/>
            <w:tcBorders>
              <w:right w:val="single" w:sz="8" w:color="123054"/>
            </w:tcBorders>
            <w:shd w:val="clear" w:color="auto" w:fill="123054"/>
          </w:tcPr>
          <w:p>
            <w:pPr>
              <w:spacing w:after="0"/>
              <w:rPr>
                <w:sz w:val="18"/>
                <w:szCs w:val="18"/>
                <w:color w:val="auto"/>
              </w:rPr>
            </w:pPr>
          </w:p>
        </w:tc>
        <w:tc>
          <w:tcPr>
            <w:tcW w:w="820" w:type="dxa"/>
            <w:vAlign w:val="bottom"/>
            <w:tcBorders>
              <w:right w:val="single" w:sz="8" w:color="123054"/>
            </w:tcBorders>
            <w:shd w:val="clear" w:color="auto" w:fill="123054"/>
          </w:tcPr>
          <w:p>
            <w:pPr>
              <w:spacing w:after="0"/>
              <w:rPr>
                <w:sz w:val="18"/>
                <w:szCs w:val="18"/>
                <w:color w:val="auto"/>
              </w:rPr>
            </w:pP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Awards</w:t>
            </w:r>
          </w:p>
        </w:tc>
        <w:tc>
          <w:tcPr>
            <w:tcW w:w="800" w:type="dxa"/>
            <w:vAlign w:val="bottom"/>
            <w:tcBorders>
              <w:right w:val="single" w:sz="8" w:color="123054"/>
            </w:tcBorders>
            <w:shd w:val="clear" w:color="auto" w:fill="123054"/>
          </w:tcPr>
          <w:p>
            <w:pPr>
              <w:spacing w:after="0"/>
              <w:rPr>
                <w:sz w:val="18"/>
                <w:szCs w:val="18"/>
                <w:color w:val="auto"/>
              </w:rPr>
            </w:pPr>
          </w:p>
        </w:tc>
        <w:tc>
          <w:tcPr>
            <w:tcW w:w="800" w:type="dxa"/>
            <w:vAlign w:val="bottom"/>
            <w:tcBorders>
              <w:right w:val="single" w:sz="8" w:color="123054"/>
            </w:tcBorders>
            <w:shd w:val="clear" w:color="auto" w:fill="123054"/>
          </w:tcPr>
          <w:p>
            <w:pPr>
              <w:spacing w:after="0"/>
              <w:rPr>
                <w:sz w:val="18"/>
                <w:szCs w:val="18"/>
                <w:color w:val="auto"/>
              </w:rPr>
            </w:pPr>
          </w:p>
        </w:tc>
        <w:tc>
          <w:tcPr>
            <w:tcW w:w="1000" w:type="dxa"/>
            <w:vAlign w:val="bottom"/>
            <w:shd w:val="clear" w:color="auto" w:fill="123054"/>
          </w:tcPr>
          <w:p>
            <w:pPr>
              <w:jc w:val="center"/>
              <w:spacing w:after="0"/>
              <w:rPr>
                <w:sz w:val="20"/>
                <w:szCs w:val="20"/>
                <w:color w:val="auto"/>
              </w:rPr>
            </w:pPr>
            <w:r>
              <w:rPr>
                <w:rFonts w:ascii="Arial" w:cs="Arial" w:eastAsia="Arial" w:hAnsi="Arial"/>
                <w:sz w:val="16"/>
                <w:szCs w:val="16"/>
                <w:b w:val="1"/>
                <w:bCs w:val="1"/>
                <w:color w:val="FBFBFB"/>
              </w:rPr>
              <w:t>Awards</w:t>
            </w:r>
          </w:p>
        </w:tc>
        <w:tc>
          <w:tcPr>
            <w:tcW w:w="0" w:type="dxa"/>
            <w:vAlign w:val="bottom"/>
          </w:tcPr>
          <w:p>
            <w:pPr>
              <w:spacing w:after="0"/>
              <w:rPr>
                <w:sz w:val="1"/>
                <w:szCs w:val="1"/>
                <w:color w:val="auto"/>
              </w:rPr>
            </w:pPr>
          </w:p>
        </w:tc>
      </w:tr>
      <w:tr>
        <w:trPr>
          <w:trHeight w:val="324"/>
        </w:trPr>
        <w:tc>
          <w:tcPr>
            <w:tcW w:w="900" w:type="dxa"/>
            <w:vAlign w:val="bottom"/>
            <w:tcBorders>
              <w:right w:val="single" w:sz="8" w:color="123054"/>
            </w:tcBorders>
            <w:vMerge w:val="restart"/>
            <w:shd w:val="clear" w:color="auto" w:fill="123054"/>
          </w:tcPr>
          <w:p>
            <w:pPr>
              <w:ind w:left="20"/>
              <w:spacing w:after="0"/>
              <w:rPr>
                <w:sz w:val="20"/>
                <w:szCs w:val="20"/>
                <w:color w:val="auto"/>
              </w:rPr>
            </w:pPr>
            <w:r>
              <w:rPr>
                <w:rFonts w:ascii="Arial" w:cs="Arial" w:eastAsia="Arial" w:hAnsi="Arial"/>
                <w:sz w:val="16"/>
                <w:szCs w:val="16"/>
                <w:b w:val="1"/>
                <w:bCs w:val="1"/>
                <w:color w:val="FBFBFB"/>
              </w:rPr>
              <w:t>Name</w:t>
            </w: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8"/>
              </w:rPr>
              <w:t>Award</w:t>
            </w:r>
          </w:p>
        </w:tc>
        <w:tc>
          <w:tcPr>
            <w:tcW w:w="8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Grant</w:t>
            </w:r>
          </w:p>
        </w:tc>
        <w:tc>
          <w:tcPr>
            <w:tcW w:w="940" w:type="dxa"/>
            <w:vAlign w:val="bottom"/>
            <w:gridSpan w:val="2"/>
            <w:shd w:val="clear" w:color="auto" w:fill="123054"/>
          </w:tcPr>
          <w:p>
            <w:pPr>
              <w:jc w:val="center"/>
              <w:ind w:right="40"/>
              <w:spacing w:after="0"/>
              <w:rPr>
                <w:sz w:val="20"/>
                <w:szCs w:val="20"/>
                <w:color w:val="auto"/>
              </w:rPr>
            </w:pPr>
            <w:r>
              <w:rPr>
                <w:rFonts w:ascii="Arial" w:cs="Arial" w:eastAsia="Arial" w:hAnsi="Arial"/>
                <w:sz w:val="16"/>
                <w:szCs w:val="16"/>
                <w:b w:val="1"/>
                <w:bCs w:val="1"/>
                <w:color w:val="FBFBFB"/>
              </w:rPr>
              <w:t>Threshold</w:t>
            </w:r>
          </w:p>
        </w:tc>
        <w:tc>
          <w:tcPr>
            <w:tcW w:w="740" w:type="dxa"/>
            <w:vAlign w:val="bottom"/>
            <w:tcBorders>
              <w:right w:val="single" w:sz="8" w:color="123054"/>
            </w:tcBorders>
            <w:shd w:val="clear" w:color="auto" w:fill="123054"/>
          </w:tcPr>
          <w:p>
            <w:pPr>
              <w:jc w:val="center"/>
              <w:ind w:right="35"/>
              <w:spacing w:after="0"/>
              <w:rPr>
                <w:sz w:val="20"/>
                <w:szCs w:val="20"/>
                <w:color w:val="auto"/>
              </w:rPr>
            </w:pPr>
            <w:r>
              <w:rPr>
                <w:rFonts w:ascii="Arial" w:cs="Arial" w:eastAsia="Arial" w:hAnsi="Arial"/>
                <w:sz w:val="16"/>
                <w:szCs w:val="16"/>
                <w:b w:val="1"/>
                <w:bCs w:val="1"/>
                <w:color w:val="FBFBFB"/>
                <w:w w:val="98"/>
              </w:rPr>
              <w:t>Target</w:t>
            </w:r>
          </w:p>
        </w:tc>
        <w:tc>
          <w:tcPr>
            <w:tcW w:w="1700" w:type="dxa"/>
            <w:vAlign w:val="bottom"/>
            <w:tcBorders>
              <w:right w:val="single" w:sz="8" w:color="123054"/>
            </w:tcBorders>
            <w:gridSpan w:val="2"/>
            <w:shd w:val="clear" w:color="auto" w:fill="123054"/>
          </w:tcPr>
          <w:p>
            <w:pPr>
              <w:ind w:left="40"/>
              <w:spacing w:after="0"/>
              <w:rPr>
                <w:sz w:val="20"/>
                <w:szCs w:val="20"/>
                <w:color w:val="auto"/>
              </w:rPr>
            </w:pPr>
            <w:r>
              <w:rPr>
                <w:rFonts w:ascii="Arial" w:cs="Arial" w:eastAsia="Arial" w:hAnsi="Arial"/>
                <w:sz w:val="16"/>
                <w:szCs w:val="16"/>
                <w:b w:val="1"/>
                <w:bCs w:val="1"/>
                <w:color w:val="FBFBFB"/>
              </w:rPr>
              <w:t>Maximum Threshold</w:t>
            </w:r>
          </w:p>
        </w:tc>
        <w:tc>
          <w:tcPr>
            <w:tcW w:w="800" w:type="dxa"/>
            <w:vAlign w:val="bottom"/>
            <w:tcBorders>
              <w:right w:val="single" w:sz="8" w:color="123054"/>
            </w:tcBorders>
            <w:shd w:val="clear" w:color="auto" w:fill="123054"/>
          </w:tcPr>
          <w:p>
            <w:pPr>
              <w:jc w:val="right"/>
              <w:ind w:right="115"/>
              <w:spacing w:after="0"/>
              <w:rPr>
                <w:sz w:val="20"/>
                <w:szCs w:val="20"/>
                <w:color w:val="auto"/>
              </w:rPr>
            </w:pPr>
            <w:r>
              <w:rPr>
                <w:rFonts w:ascii="Arial" w:cs="Arial" w:eastAsia="Arial" w:hAnsi="Arial"/>
                <w:sz w:val="16"/>
                <w:szCs w:val="16"/>
                <w:b w:val="1"/>
                <w:bCs w:val="1"/>
                <w:color w:val="FBFBFB"/>
              </w:rPr>
              <w:t>Target</w:t>
            </w:r>
          </w:p>
        </w:tc>
        <w:tc>
          <w:tcPr>
            <w:tcW w:w="8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Maximum</w:t>
            </w:r>
          </w:p>
        </w:tc>
        <w:tc>
          <w:tcPr>
            <w:tcW w:w="1000" w:type="dxa"/>
            <w:vAlign w:val="bottom"/>
            <w:shd w:val="clear" w:color="auto" w:fill="123054"/>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Borders>
              <w:right w:val="single" w:sz="8" w:color="123054"/>
            </w:tcBorders>
            <w:vMerge w:val="continue"/>
            <w:shd w:val="clear" w:color="auto" w:fill="123054"/>
          </w:tcPr>
          <w:p>
            <w:pPr>
              <w:spacing w:after="0"/>
              <w:rPr>
                <w:sz w:val="19"/>
                <w:szCs w:val="19"/>
                <w:color w:val="auto"/>
              </w:rPr>
            </w:pP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6"/>
              </w:rPr>
              <w:t>Type</w:t>
            </w:r>
          </w:p>
        </w:tc>
        <w:tc>
          <w:tcPr>
            <w:tcW w:w="8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7"/>
              </w:rPr>
              <w:t>Date</w:t>
            </w: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w:t>
            </w:r>
          </w:p>
        </w:tc>
        <w:tc>
          <w:tcPr>
            <w:tcW w:w="60" w:type="dxa"/>
            <w:vAlign w:val="bottom"/>
            <w:shd w:val="clear" w:color="auto" w:fill="123054"/>
          </w:tcPr>
          <w:p>
            <w:pPr>
              <w:spacing w:after="0"/>
              <w:rPr>
                <w:sz w:val="19"/>
                <w:szCs w:val="19"/>
                <w:color w:val="auto"/>
              </w:rPr>
            </w:pPr>
          </w:p>
        </w:tc>
        <w:tc>
          <w:tcPr>
            <w:tcW w:w="740" w:type="dxa"/>
            <w:vAlign w:val="bottom"/>
            <w:tcBorders>
              <w:right w:val="single" w:sz="8" w:color="123054"/>
            </w:tcBorders>
            <w:shd w:val="clear" w:color="auto" w:fill="123054"/>
          </w:tcPr>
          <w:p>
            <w:pPr>
              <w:jc w:val="right"/>
              <w:ind w:right="255"/>
              <w:spacing w:after="0"/>
              <w:rPr>
                <w:sz w:val="20"/>
                <w:szCs w:val="20"/>
                <w:color w:val="auto"/>
              </w:rPr>
            </w:pPr>
            <w:r>
              <w:rPr>
                <w:rFonts w:ascii="Arial" w:cs="Arial" w:eastAsia="Arial" w:hAnsi="Arial"/>
                <w:sz w:val="16"/>
                <w:szCs w:val="16"/>
                <w:b w:val="1"/>
                <w:bCs w:val="1"/>
                <w:color w:val="FBFBFB"/>
              </w:rPr>
              <w:t>($)</w:t>
            </w:r>
          </w:p>
        </w:tc>
        <w:tc>
          <w:tcPr>
            <w:tcW w:w="820" w:type="dxa"/>
            <w:vAlign w:val="bottom"/>
            <w:tcBorders>
              <w:right w:val="single" w:sz="8" w:color="123054"/>
            </w:tcBorders>
            <w:shd w:val="clear" w:color="auto" w:fill="123054"/>
          </w:tcPr>
          <w:p>
            <w:pPr>
              <w:jc w:val="right"/>
              <w:ind w:right="275"/>
              <w:spacing w:after="0"/>
              <w:rPr>
                <w:sz w:val="20"/>
                <w:szCs w:val="20"/>
                <w:color w:val="auto"/>
              </w:rPr>
            </w:pPr>
            <w:r>
              <w:rPr>
                <w:rFonts w:ascii="Arial" w:cs="Arial" w:eastAsia="Arial" w:hAnsi="Arial"/>
                <w:sz w:val="16"/>
                <w:szCs w:val="16"/>
                <w:b w:val="1"/>
                <w:bCs w:val="1"/>
                <w:color w:val="FBFBFB"/>
              </w:rPr>
              <w:t>($)</w:t>
            </w:r>
          </w:p>
        </w:tc>
        <w:tc>
          <w:tcPr>
            <w:tcW w:w="8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w:t>
            </w:r>
          </w:p>
        </w:tc>
        <w:tc>
          <w:tcPr>
            <w:tcW w:w="800" w:type="dxa"/>
            <w:vAlign w:val="bottom"/>
            <w:tcBorders>
              <w:right w:val="single" w:sz="8" w:color="123054"/>
            </w:tcBorders>
            <w:shd w:val="clear" w:color="auto" w:fill="123054"/>
          </w:tcPr>
          <w:p>
            <w:pPr>
              <w:jc w:val="right"/>
              <w:ind w:right="255"/>
              <w:spacing w:after="0"/>
              <w:rPr>
                <w:sz w:val="20"/>
                <w:szCs w:val="20"/>
                <w:color w:val="auto"/>
              </w:rPr>
            </w:pPr>
            <w:r>
              <w:rPr>
                <w:rFonts w:ascii="Arial" w:cs="Arial" w:eastAsia="Arial" w:hAnsi="Arial"/>
                <w:sz w:val="16"/>
                <w:szCs w:val="16"/>
                <w:b w:val="1"/>
                <w:bCs w:val="1"/>
                <w:color w:val="FBFBFB"/>
              </w:rPr>
              <w:t>(#)</w:t>
            </w:r>
          </w:p>
        </w:tc>
        <w:tc>
          <w:tcPr>
            <w:tcW w:w="8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w:t>
            </w:r>
          </w:p>
        </w:tc>
        <w:tc>
          <w:tcPr>
            <w:tcW w:w="1000" w:type="dxa"/>
            <w:vAlign w:val="bottom"/>
            <w:shd w:val="clear" w:color="auto" w:fill="123054"/>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Richard F.</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$164,688</w:t>
            </w:r>
          </w:p>
        </w:tc>
        <w:tc>
          <w:tcPr>
            <w:tcW w:w="60" w:type="dxa"/>
            <w:vAlign w:val="bottom"/>
          </w:tcPr>
          <w:p>
            <w:pPr>
              <w:spacing w:after="0"/>
              <w:rPr>
                <w:sz w:val="13"/>
                <w:szCs w:val="13"/>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$658,750</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9"/>
              </w:rPr>
              <w:t>$988,125</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w w:val="97"/>
              </w:rPr>
              <w:t>Westenberger</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123054"/>
            </w:tcBorders>
          </w:tcPr>
          <w:p>
            <w:pPr>
              <w:spacing w:after="0"/>
              <w:rPr>
                <w:sz w:val="14"/>
                <w:szCs w:val="14"/>
                <w:color w:val="auto"/>
              </w:rPr>
            </w:pPr>
          </w:p>
        </w:tc>
        <w:tc>
          <w:tcPr>
            <w:tcW w:w="82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9,152</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9,152</w:t>
            </w:r>
          </w:p>
        </w:tc>
        <w:tc>
          <w:tcPr>
            <w:tcW w:w="1000" w:type="dxa"/>
            <w:vAlign w:val="bottom"/>
          </w:tcPr>
          <w:p>
            <w:pPr>
              <w:jc w:val="center"/>
              <w:ind w:left="12"/>
              <w:spacing w:after="0"/>
              <w:rPr>
                <w:sz w:val="20"/>
                <w:szCs w:val="20"/>
                <w:color w:val="auto"/>
              </w:rPr>
            </w:pPr>
            <w:r>
              <w:rPr>
                <w:rFonts w:ascii="Arial" w:cs="Arial" w:eastAsia="Arial" w:hAnsi="Arial"/>
                <w:sz w:val="13"/>
                <w:szCs w:val="13"/>
                <w:color w:val="auto"/>
                <w:w w:val="95"/>
              </w:rPr>
              <w:t>$750,006</w:t>
            </w: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Shares (c)</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1,510</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6,040</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12,080</w:t>
            </w:r>
          </w:p>
        </w:tc>
        <w:tc>
          <w:tcPr>
            <w:tcW w:w="1000" w:type="dxa"/>
            <w:vAlign w:val="bottom"/>
          </w:tcPr>
          <w:p>
            <w:pPr>
              <w:jc w:val="center"/>
              <w:ind w:left="12"/>
              <w:spacing w:after="0"/>
              <w:rPr>
                <w:sz w:val="20"/>
                <w:szCs w:val="20"/>
                <w:color w:val="auto"/>
              </w:rPr>
            </w:pPr>
            <w:r>
              <w:rPr>
                <w:rFonts w:ascii="Arial" w:cs="Arial" w:eastAsia="Arial" w:hAnsi="Arial"/>
                <w:sz w:val="13"/>
                <w:szCs w:val="13"/>
                <w:color w:val="auto"/>
                <w:w w:val="95"/>
              </w:rPr>
              <w:t>$494,978</w:t>
            </w: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Shares (d)</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778</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3,112</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6,224</w:t>
            </w:r>
          </w:p>
        </w:tc>
        <w:tc>
          <w:tcPr>
            <w:tcW w:w="1000" w:type="dxa"/>
            <w:vAlign w:val="bottom"/>
          </w:tcPr>
          <w:p>
            <w:pPr>
              <w:jc w:val="center"/>
              <w:ind w:left="12"/>
              <w:spacing w:after="0"/>
              <w:rPr>
                <w:sz w:val="20"/>
                <w:szCs w:val="20"/>
                <w:color w:val="auto"/>
              </w:rPr>
            </w:pPr>
            <w:r>
              <w:rPr>
                <w:rFonts w:ascii="Arial" w:cs="Arial" w:eastAsia="Arial" w:hAnsi="Arial"/>
                <w:sz w:val="13"/>
                <w:szCs w:val="13"/>
                <w:color w:val="auto"/>
                <w:w w:val="95"/>
              </w:rPr>
              <w:t>$364,975</w:t>
            </w:r>
          </w:p>
        </w:tc>
        <w:tc>
          <w:tcPr>
            <w:tcW w:w="0" w:type="dxa"/>
            <w:vAlign w:val="bottom"/>
          </w:tcPr>
          <w:p>
            <w:pPr>
              <w:spacing w:after="0"/>
              <w:rPr>
                <w:sz w:val="1"/>
                <w:szCs w:val="1"/>
                <w:color w:val="auto"/>
              </w:rPr>
            </w:pPr>
          </w:p>
        </w:tc>
      </w:tr>
      <w:tr>
        <w:trPr>
          <w:trHeight w:val="28"/>
        </w:trPr>
        <w:tc>
          <w:tcPr>
            <w:tcW w:w="9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right w:val="single" w:sz="8" w:color="123054"/>
            </w:tcBorders>
          </w:tcPr>
          <w:p>
            <w:pPr>
              <w:spacing w:after="0"/>
              <w:rPr>
                <w:sz w:val="2"/>
                <w:szCs w:val="2"/>
                <w:color w:val="auto"/>
              </w:rPr>
            </w:pPr>
          </w:p>
        </w:tc>
        <w:tc>
          <w:tcPr>
            <w:tcW w:w="82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90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Kendra D.</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$164,688</w:t>
            </w: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$658,750</w:t>
            </w:r>
          </w:p>
        </w:tc>
        <w:tc>
          <w:tcPr>
            <w:tcW w:w="8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9"/>
              </w:rPr>
              <w:t>$988,125</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Krugman</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spacing w:after="0"/>
              <w:rPr>
                <w:sz w:val="14"/>
                <w:szCs w:val="14"/>
                <w:color w:val="auto"/>
              </w:rPr>
            </w:pPr>
          </w:p>
        </w:tc>
        <w:tc>
          <w:tcPr>
            <w:tcW w:w="82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7"/>
                <w:szCs w:val="17"/>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9,152</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9,152</w:t>
            </w:r>
          </w:p>
        </w:tc>
        <w:tc>
          <w:tcPr>
            <w:tcW w:w="1000" w:type="dxa"/>
            <w:vAlign w:val="bottom"/>
            <w:shd w:val="clear" w:color="auto" w:fill="DBDBDB"/>
          </w:tcPr>
          <w:p>
            <w:pPr>
              <w:jc w:val="center"/>
              <w:ind w:left="12"/>
              <w:spacing w:after="0"/>
              <w:rPr>
                <w:sz w:val="20"/>
                <w:szCs w:val="20"/>
                <w:color w:val="auto"/>
              </w:rPr>
            </w:pPr>
            <w:r>
              <w:rPr>
                <w:rFonts w:ascii="Arial" w:cs="Arial" w:eastAsia="Arial" w:hAnsi="Arial"/>
                <w:sz w:val="13"/>
                <w:szCs w:val="13"/>
                <w:color w:val="auto"/>
                <w:w w:val="95"/>
              </w:rPr>
              <w:t>$750,006</w:t>
            </w: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Shares (c)</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7"/>
                <w:szCs w:val="17"/>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1,510</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6,040</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12,080</w:t>
            </w:r>
          </w:p>
        </w:tc>
        <w:tc>
          <w:tcPr>
            <w:tcW w:w="1000" w:type="dxa"/>
            <w:vAlign w:val="bottom"/>
            <w:shd w:val="clear" w:color="auto" w:fill="DBDBDB"/>
          </w:tcPr>
          <w:p>
            <w:pPr>
              <w:jc w:val="center"/>
              <w:ind w:left="12"/>
              <w:spacing w:after="0"/>
              <w:rPr>
                <w:sz w:val="20"/>
                <w:szCs w:val="20"/>
                <w:color w:val="auto"/>
              </w:rPr>
            </w:pPr>
            <w:r>
              <w:rPr>
                <w:rFonts w:ascii="Arial" w:cs="Arial" w:eastAsia="Arial" w:hAnsi="Arial"/>
                <w:sz w:val="13"/>
                <w:szCs w:val="13"/>
                <w:color w:val="auto"/>
                <w:w w:val="95"/>
              </w:rPr>
              <w:t>$494,978</w:t>
            </w:r>
          </w:p>
        </w:tc>
        <w:tc>
          <w:tcPr>
            <w:tcW w:w="0" w:type="dxa"/>
            <w:vAlign w:val="bottom"/>
          </w:tcPr>
          <w:p>
            <w:pPr>
              <w:spacing w:after="0"/>
              <w:rPr>
                <w:sz w:val="1"/>
                <w:szCs w:val="1"/>
                <w:color w:val="auto"/>
              </w:rPr>
            </w:pPr>
          </w:p>
        </w:tc>
      </w:tr>
      <w:tr>
        <w:trPr>
          <w:trHeight w:val="210"/>
        </w:trPr>
        <w:tc>
          <w:tcPr>
            <w:tcW w:w="900" w:type="dxa"/>
            <w:vAlign w:val="bottom"/>
            <w:tcBorders>
              <w:bottom w:val="single" w:sz="8" w:color="DBDBDB"/>
              <w:right w:val="single" w:sz="8" w:color="123054"/>
            </w:tcBorders>
            <w:shd w:val="clear" w:color="auto" w:fill="DBDBDB"/>
          </w:tcPr>
          <w:p>
            <w:pPr>
              <w:spacing w:after="0"/>
              <w:rPr>
                <w:sz w:val="18"/>
                <w:szCs w:val="18"/>
                <w:color w:val="auto"/>
              </w:rPr>
            </w:pP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Shares (d)</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778</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3,112</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2"/>
              </w:rPr>
              <w:t>6,224</w:t>
            </w:r>
          </w:p>
        </w:tc>
        <w:tc>
          <w:tcPr>
            <w:tcW w:w="1000" w:type="dxa"/>
            <w:vAlign w:val="bottom"/>
            <w:tcBorders>
              <w:bottom w:val="single" w:sz="8" w:color="DBDBDB"/>
            </w:tcBorders>
            <w:shd w:val="clear" w:color="auto" w:fill="DBDBDB"/>
          </w:tcPr>
          <w:p>
            <w:pPr>
              <w:jc w:val="center"/>
              <w:ind w:left="12"/>
              <w:spacing w:after="0"/>
              <w:rPr>
                <w:sz w:val="20"/>
                <w:szCs w:val="20"/>
                <w:color w:val="auto"/>
              </w:rPr>
            </w:pPr>
            <w:r>
              <w:rPr>
                <w:rFonts w:ascii="Arial" w:cs="Arial" w:eastAsia="Arial" w:hAnsi="Arial"/>
                <w:sz w:val="13"/>
                <w:szCs w:val="13"/>
                <w:color w:val="auto"/>
                <w:w w:val="95"/>
              </w:rPr>
              <w:t>$364,975</w:t>
            </w:r>
          </w:p>
        </w:tc>
        <w:tc>
          <w:tcPr>
            <w:tcW w:w="0" w:type="dxa"/>
            <w:vAlign w:val="bottom"/>
          </w:tcPr>
          <w:p>
            <w:pPr>
              <w:spacing w:after="0"/>
              <w:rPr>
                <w:sz w:val="1"/>
                <w:szCs w:val="1"/>
                <w:color w:val="auto"/>
              </w:rPr>
            </w:pPr>
          </w:p>
        </w:tc>
      </w:tr>
      <w:tr>
        <w:trPr>
          <w:trHeight w:val="171"/>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Allison M.</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3"/>
              </w:rPr>
              <w:t>$68,193</w:t>
            </w:r>
          </w:p>
        </w:tc>
        <w:tc>
          <w:tcPr>
            <w:tcW w:w="60" w:type="dxa"/>
            <w:vAlign w:val="bottom"/>
          </w:tcPr>
          <w:p>
            <w:pPr>
              <w:spacing w:after="0"/>
              <w:rPr>
                <w:sz w:val="14"/>
                <w:szCs w:val="14"/>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$272,774</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9"/>
              </w:rPr>
              <w:t>$409,161</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Peterson</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123054"/>
            </w:tcBorders>
          </w:tcPr>
          <w:p>
            <w:pPr>
              <w:spacing w:after="0"/>
              <w:rPr>
                <w:sz w:val="14"/>
                <w:szCs w:val="14"/>
                <w:color w:val="auto"/>
              </w:rPr>
            </w:pPr>
          </w:p>
        </w:tc>
        <w:tc>
          <w:tcPr>
            <w:tcW w:w="82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4"/>
              </w:rPr>
              <w:t>8/9/2024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right"/>
              <w:ind w:right="135"/>
              <w:spacing w:after="0"/>
              <w:rPr>
                <w:sz w:val="20"/>
                <w:szCs w:val="20"/>
                <w:color w:val="auto"/>
              </w:rPr>
            </w:pPr>
            <w:r>
              <w:rPr>
                <w:rFonts w:ascii="Arial" w:cs="Arial" w:eastAsia="Arial" w:hAnsi="Arial"/>
                <w:sz w:val="13"/>
                <w:szCs w:val="13"/>
                <w:color w:val="auto"/>
              </w:rPr>
              <w:t>39,920</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39,920</w:t>
            </w:r>
          </w:p>
        </w:tc>
        <w:tc>
          <w:tcPr>
            <w:tcW w:w="1000" w:type="dxa"/>
            <w:vAlign w:val="bottom"/>
          </w:tcPr>
          <w:p>
            <w:pPr>
              <w:jc w:val="center"/>
              <w:ind w:left="32"/>
              <w:spacing w:after="0"/>
              <w:rPr>
                <w:sz w:val="20"/>
                <w:szCs w:val="20"/>
                <w:color w:val="auto"/>
              </w:rPr>
            </w:pPr>
            <w:r>
              <w:rPr>
                <w:rFonts w:ascii="Arial" w:cs="Arial" w:eastAsia="Arial" w:hAnsi="Arial"/>
                <w:sz w:val="13"/>
                <w:szCs w:val="13"/>
                <w:color w:val="auto"/>
                <w:w w:val="95"/>
              </w:rPr>
              <w:t>$2,500,190</w:t>
            </w:r>
          </w:p>
        </w:tc>
        <w:tc>
          <w:tcPr>
            <w:tcW w:w="0" w:type="dxa"/>
            <w:vAlign w:val="bottom"/>
          </w:tcPr>
          <w:p>
            <w:pPr>
              <w:spacing w:after="0"/>
              <w:rPr>
                <w:sz w:val="1"/>
                <w:szCs w:val="1"/>
                <w:color w:val="auto"/>
              </w:rPr>
            </w:pPr>
          </w:p>
        </w:tc>
      </w:tr>
      <w:tr>
        <w:trPr>
          <w:trHeight w:val="28"/>
        </w:trPr>
        <w:tc>
          <w:tcPr>
            <w:tcW w:w="9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right w:val="single" w:sz="8" w:color="123054"/>
            </w:tcBorders>
          </w:tcPr>
          <w:p>
            <w:pPr>
              <w:spacing w:after="0"/>
              <w:rPr>
                <w:sz w:val="2"/>
                <w:szCs w:val="2"/>
                <w:color w:val="auto"/>
              </w:rPr>
            </w:pPr>
          </w:p>
        </w:tc>
        <w:tc>
          <w:tcPr>
            <w:tcW w:w="82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90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w w:val="94"/>
              </w:rPr>
              <w:t>Raghu R. Sagi</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$76,130</w:t>
            </w: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$304,452</w:t>
            </w:r>
          </w:p>
        </w:tc>
        <w:tc>
          <w:tcPr>
            <w:tcW w:w="8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9"/>
              </w:rPr>
              <w:t>$456,781</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spacing w:after="0"/>
              <w:rPr>
                <w:sz w:val="14"/>
                <w:szCs w:val="14"/>
                <w:color w:val="auto"/>
              </w:rPr>
            </w:pPr>
          </w:p>
        </w:tc>
        <w:tc>
          <w:tcPr>
            <w:tcW w:w="82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DBDBDB"/>
              <w:right w:val="single" w:sz="8" w:color="123054"/>
            </w:tcBorders>
            <w:shd w:val="clear" w:color="auto" w:fill="DBDBDB"/>
          </w:tcPr>
          <w:p>
            <w:pPr>
              <w:spacing w:after="0"/>
              <w:rPr>
                <w:sz w:val="18"/>
                <w:szCs w:val="18"/>
                <w:color w:val="auto"/>
              </w:rPr>
            </w:pP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5/10/2024</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6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2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right w:val="single" w:sz="8" w:color="123054"/>
            </w:tcBorders>
            <w:shd w:val="clear" w:color="auto" w:fill="DBDBDB"/>
          </w:tcPr>
          <w:p>
            <w:pPr>
              <w:jc w:val="right"/>
              <w:ind w:right="135"/>
              <w:spacing w:after="0"/>
              <w:rPr>
                <w:sz w:val="20"/>
                <w:szCs w:val="20"/>
                <w:color w:val="auto"/>
              </w:rPr>
            </w:pPr>
            <w:r>
              <w:rPr>
                <w:rFonts w:ascii="Arial" w:cs="Arial" w:eastAsia="Arial" w:hAnsi="Arial"/>
                <w:sz w:val="13"/>
                <w:szCs w:val="13"/>
                <w:color w:val="auto"/>
              </w:rPr>
              <w:t>14,484</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14,484</w:t>
            </w:r>
          </w:p>
        </w:tc>
        <w:tc>
          <w:tcPr>
            <w:tcW w:w="1000" w:type="dxa"/>
            <w:vAlign w:val="bottom"/>
            <w:tcBorders>
              <w:bottom w:val="single" w:sz="8" w:color="DBDBDB"/>
            </w:tcBorders>
            <w:shd w:val="clear" w:color="auto" w:fill="DBDBDB"/>
          </w:tcPr>
          <w:p>
            <w:pPr>
              <w:jc w:val="center"/>
              <w:ind w:left="32"/>
              <w:spacing w:after="0"/>
              <w:rPr>
                <w:sz w:val="20"/>
                <w:szCs w:val="20"/>
                <w:color w:val="auto"/>
              </w:rPr>
            </w:pPr>
            <w:r>
              <w:rPr>
                <w:rFonts w:ascii="Arial" w:cs="Arial" w:eastAsia="Arial" w:hAnsi="Arial"/>
                <w:sz w:val="13"/>
                <w:szCs w:val="13"/>
                <w:color w:val="auto"/>
                <w:w w:val="95"/>
              </w:rPr>
              <w:t>$1,000,120</w:t>
            </w:r>
          </w:p>
        </w:tc>
        <w:tc>
          <w:tcPr>
            <w:tcW w:w="0" w:type="dxa"/>
            <w:vAlign w:val="bottom"/>
          </w:tcPr>
          <w:p>
            <w:pPr>
              <w:spacing w:after="0"/>
              <w:rPr>
                <w:sz w:val="1"/>
                <w:szCs w:val="1"/>
                <w:color w:val="auto"/>
              </w:rPr>
            </w:pPr>
          </w:p>
        </w:tc>
      </w:tr>
      <w:tr>
        <w:trPr>
          <w:trHeight w:val="171"/>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Michael D</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$502,500</w:t>
            </w:r>
          </w:p>
        </w:tc>
        <w:tc>
          <w:tcPr>
            <w:tcW w:w="60" w:type="dxa"/>
            <w:vAlign w:val="bottom"/>
          </w:tcPr>
          <w:p>
            <w:pPr>
              <w:spacing w:after="0"/>
              <w:rPr>
                <w:sz w:val="14"/>
                <w:szCs w:val="14"/>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$2,010,000</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$3,015,000</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tcPr>
          <w:p>
            <w:pPr>
              <w:ind w:left="60"/>
              <w:spacing w:after="0"/>
              <w:rPr>
                <w:sz w:val="20"/>
                <w:szCs w:val="20"/>
                <w:color w:val="auto"/>
              </w:rPr>
            </w:pPr>
            <w:r>
              <w:rPr>
                <w:rFonts w:ascii="Arial" w:cs="Arial" w:eastAsia="Arial" w:hAnsi="Arial"/>
                <w:sz w:val="13"/>
                <w:szCs w:val="13"/>
                <w:color w:val="auto"/>
              </w:rPr>
              <w:t>Casey.</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123054"/>
            </w:tcBorders>
          </w:tcPr>
          <w:p>
            <w:pPr>
              <w:spacing w:after="0"/>
              <w:rPr>
                <w:sz w:val="14"/>
                <w:szCs w:val="14"/>
                <w:color w:val="auto"/>
              </w:rPr>
            </w:pPr>
          </w:p>
        </w:tc>
        <w:tc>
          <w:tcPr>
            <w:tcW w:w="820" w:type="dxa"/>
            <w:vAlign w:val="bottom"/>
            <w:tcBorders>
              <w:right w:val="single" w:sz="8" w:color="123054"/>
            </w:tcBorders>
          </w:tcPr>
          <w:p>
            <w:pPr>
              <w:spacing w:after="0"/>
              <w:rPr>
                <w:sz w:val="14"/>
                <w:szCs w:val="14"/>
                <w:color w:val="auto"/>
              </w:rPr>
            </w:pPr>
          </w:p>
        </w:tc>
        <w:tc>
          <w:tcPr>
            <w:tcW w:w="88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800" w:type="dxa"/>
            <w:vAlign w:val="bottom"/>
            <w:tcBorders>
              <w:right w:val="single" w:sz="8" w:color="123054"/>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tcPr>
          <w:p>
            <w:pPr>
              <w:jc w:val="right"/>
              <w:ind w:right="135"/>
              <w:spacing w:after="0"/>
              <w:rPr>
                <w:sz w:val="20"/>
                <w:szCs w:val="20"/>
                <w:color w:val="auto"/>
              </w:rPr>
            </w:pPr>
            <w:r>
              <w:rPr>
                <w:rFonts w:ascii="Arial" w:cs="Arial" w:eastAsia="Arial" w:hAnsi="Arial"/>
                <w:sz w:val="13"/>
                <w:szCs w:val="13"/>
                <w:color w:val="auto"/>
              </w:rPr>
              <w:t>39,660</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39,660</w:t>
            </w:r>
          </w:p>
        </w:tc>
        <w:tc>
          <w:tcPr>
            <w:tcW w:w="1000" w:type="dxa"/>
            <w:vAlign w:val="bottom"/>
          </w:tcPr>
          <w:p>
            <w:pPr>
              <w:jc w:val="center"/>
              <w:ind w:left="32"/>
              <w:spacing w:after="0"/>
              <w:rPr>
                <w:sz w:val="20"/>
                <w:szCs w:val="20"/>
                <w:color w:val="auto"/>
              </w:rPr>
            </w:pPr>
            <w:r>
              <w:rPr>
                <w:rFonts w:ascii="Arial" w:cs="Arial" w:eastAsia="Arial" w:hAnsi="Arial"/>
                <w:sz w:val="13"/>
                <w:szCs w:val="13"/>
                <w:color w:val="auto"/>
                <w:w w:val="95"/>
              </w:rPr>
              <w:t>$3,250,137</w:t>
            </w: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Shares (c)</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6,544</w:t>
            </w:r>
          </w:p>
        </w:tc>
        <w:tc>
          <w:tcPr>
            <w:tcW w:w="800" w:type="dxa"/>
            <w:vAlign w:val="bottom"/>
            <w:tcBorders>
              <w:right w:val="single" w:sz="8" w:color="123054"/>
            </w:tcBorders>
          </w:tcPr>
          <w:p>
            <w:pPr>
              <w:jc w:val="right"/>
              <w:ind w:right="135"/>
              <w:spacing w:after="0"/>
              <w:rPr>
                <w:sz w:val="20"/>
                <w:szCs w:val="20"/>
                <w:color w:val="auto"/>
              </w:rPr>
            </w:pPr>
            <w:r>
              <w:rPr>
                <w:rFonts w:ascii="Arial" w:cs="Arial" w:eastAsia="Arial" w:hAnsi="Arial"/>
                <w:sz w:val="13"/>
                <w:szCs w:val="13"/>
                <w:color w:val="auto"/>
              </w:rPr>
              <w:t>26,176</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52,352</w:t>
            </w:r>
          </w:p>
        </w:tc>
        <w:tc>
          <w:tcPr>
            <w:tcW w:w="1000" w:type="dxa"/>
            <w:vAlign w:val="bottom"/>
          </w:tcPr>
          <w:p>
            <w:pPr>
              <w:jc w:val="center"/>
              <w:ind w:left="32"/>
              <w:spacing w:after="0"/>
              <w:rPr>
                <w:sz w:val="20"/>
                <w:szCs w:val="20"/>
                <w:color w:val="auto"/>
              </w:rPr>
            </w:pPr>
            <w:r>
              <w:rPr>
                <w:rFonts w:ascii="Arial" w:cs="Arial" w:eastAsia="Arial" w:hAnsi="Arial"/>
                <w:sz w:val="13"/>
                <w:szCs w:val="13"/>
                <w:color w:val="auto"/>
                <w:w w:val="95"/>
              </w:rPr>
              <w:t>$2,145,123</w:t>
            </w:r>
          </w:p>
        </w:tc>
        <w:tc>
          <w:tcPr>
            <w:tcW w:w="0" w:type="dxa"/>
            <w:vAlign w:val="bottom"/>
          </w:tcPr>
          <w:p>
            <w:pPr>
              <w:spacing w:after="0"/>
              <w:rPr>
                <w:sz w:val="1"/>
                <w:szCs w:val="1"/>
                <w:color w:val="auto"/>
              </w:rPr>
            </w:pPr>
          </w:p>
        </w:tc>
      </w:tr>
      <w:tr>
        <w:trPr>
          <w:trHeight w:val="202"/>
        </w:trPr>
        <w:tc>
          <w:tcPr>
            <w:tcW w:w="900" w:type="dxa"/>
            <w:vAlign w:val="bottom"/>
            <w:tcBorders>
              <w:right w:val="single" w:sz="8" w:color="123054"/>
            </w:tcBorders>
          </w:tcPr>
          <w:p>
            <w:pPr>
              <w:spacing w:after="0"/>
              <w:rPr>
                <w:sz w:val="17"/>
                <w:szCs w:val="17"/>
                <w:color w:val="auto"/>
              </w:rPr>
            </w:pP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Shares (d)</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2"/>
              </w:rPr>
              <w:t>3,371</w:t>
            </w:r>
          </w:p>
        </w:tc>
        <w:tc>
          <w:tcPr>
            <w:tcW w:w="800" w:type="dxa"/>
            <w:vAlign w:val="bottom"/>
            <w:tcBorders>
              <w:right w:val="single" w:sz="8" w:color="123054"/>
            </w:tcBorders>
          </w:tcPr>
          <w:p>
            <w:pPr>
              <w:jc w:val="right"/>
              <w:ind w:right="135"/>
              <w:spacing w:after="0"/>
              <w:rPr>
                <w:sz w:val="20"/>
                <w:szCs w:val="20"/>
                <w:color w:val="auto"/>
              </w:rPr>
            </w:pPr>
            <w:r>
              <w:rPr>
                <w:rFonts w:ascii="Arial" w:cs="Arial" w:eastAsia="Arial" w:hAnsi="Arial"/>
                <w:sz w:val="13"/>
                <w:szCs w:val="13"/>
                <w:color w:val="auto"/>
              </w:rPr>
              <w:t>13,484</w:t>
            </w:r>
          </w:p>
        </w:tc>
        <w:tc>
          <w:tcPr>
            <w:tcW w:w="8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26,968</w:t>
            </w:r>
          </w:p>
        </w:tc>
        <w:tc>
          <w:tcPr>
            <w:tcW w:w="1000" w:type="dxa"/>
            <w:vAlign w:val="bottom"/>
          </w:tcPr>
          <w:p>
            <w:pPr>
              <w:jc w:val="center"/>
              <w:ind w:left="32"/>
              <w:spacing w:after="0"/>
              <w:rPr>
                <w:sz w:val="20"/>
                <w:szCs w:val="20"/>
                <w:color w:val="auto"/>
              </w:rPr>
            </w:pPr>
            <w:r>
              <w:rPr>
                <w:rFonts w:ascii="Arial" w:cs="Arial" w:eastAsia="Arial" w:hAnsi="Arial"/>
                <w:sz w:val="13"/>
                <w:szCs w:val="13"/>
                <w:color w:val="auto"/>
                <w:w w:val="95"/>
              </w:rPr>
              <w:t>$1,581,404</w:t>
            </w:r>
          </w:p>
        </w:tc>
        <w:tc>
          <w:tcPr>
            <w:tcW w:w="0" w:type="dxa"/>
            <w:vAlign w:val="bottom"/>
          </w:tcPr>
          <w:p>
            <w:pPr>
              <w:spacing w:after="0"/>
              <w:rPr>
                <w:sz w:val="1"/>
                <w:szCs w:val="1"/>
                <w:color w:val="auto"/>
              </w:rPr>
            </w:pPr>
          </w:p>
        </w:tc>
      </w:tr>
      <w:tr>
        <w:trPr>
          <w:trHeight w:val="28"/>
        </w:trPr>
        <w:tc>
          <w:tcPr>
            <w:tcW w:w="9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right w:val="single" w:sz="8" w:color="123054"/>
            </w:tcBorders>
          </w:tcPr>
          <w:p>
            <w:pPr>
              <w:spacing w:after="0"/>
              <w:rPr>
                <w:sz w:val="2"/>
                <w:szCs w:val="2"/>
                <w:color w:val="auto"/>
              </w:rPr>
            </w:pPr>
          </w:p>
        </w:tc>
        <w:tc>
          <w:tcPr>
            <w:tcW w:w="820" w:type="dxa"/>
            <w:vAlign w:val="bottom"/>
            <w:tcBorders>
              <w:right w:val="single" w:sz="8" w:color="123054"/>
            </w:tcBorders>
          </w:tcPr>
          <w:p>
            <w:pPr>
              <w:spacing w:after="0"/>
              <w:rPr>
                <w:sz w:val="2"/>
                <w:szCs w:val="2"/>
                <w:color w:val="auto"/>
              </w:rPr>
            </w:pPr>
          </w:p>
        </w:tc>
        <w:tc>
          <w:tcPr>
            <w:tcW w:w="88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800" w:type="dxa"/>
            <w:vAlign w:val="bottom"/>
            <w:tcBorders>
              <w:right w:val="single" w:sz="8" w:color="123054"/>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90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Brian J.</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Cash Incentive</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8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3"/>
                <w:szCs w:val="13"/>
                <w:color w:val="auto"/>
              </w:rPr>
              <w:t>Lynch</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7"/>
              </w:rPr>
              <w:t>Compensation</w:t>
            </w:r>
          </w:p>
        </w:tc>
        <w:tc>
          <w:tcPr>
            <w:tcW w:w="80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40" w:type="dxa"/>
            <w:vAlign w:val="bottom"/>
            <w:tcBorders>
              <w:right w:val="single" w:sz="8" w:color="123054"/>
            </w:tcBorders>
            <w:shd w:val="clear" w:color="auto" w:fill="DBDBDB"/>
          </w:tcPr>
          <w:p>
            <w:pPr>
              <w:spacing w:after="0"/>
              <w:rPr>
                <w:sz w:val="14"/>
                <w:szCs w:val="14"/>
                <w:color w:val="auto"/>
              </w:rPr>
            </w:pPr>
          </w:p>
        </w:tc>
        <w:tc>
          <w:tcPr>
            <w:tcW w:w="820" w:type="dxa"/>
            <w:vAlign w:val="bottom"/>
            <w:tcBorders>
              <w:right w:val="single" w:sz="8" w:color="123054"/>
            </w:tcBorders>
            <w:shd w:val="clear" w:color="auto" w:fill="DBDBDB"/>
          </w:tcPr>
          <w:p>
            <w:pPr>
              <w:spacing w:after="0"/>
              <w:rPr>
                <w:sz w:val="14"/>
                <w:szCs w:val="14"/>
                <w:color w:val="auto"/>
              </w:rPr>
            </w:pPr>
          </w:p>
        </w:tc>
        <w:tc>
          <w:tcPr>
            <w:tcW w:w="88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800" w:type="dxa"/>
            <w:vAlign w:val="bottom"/>
            <w:tcBorders>
              <w:right w:val="single" w:sz="8" w:color="123054"/>
            </w:tcBorders>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Shares (b)</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7"/>
                <w:szCs w:val="17"/>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203"/>
        </w:trPr>
        <w:tc>
          <w:tcPr>
            <w:tcW w:w="90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Shares (c)</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7"/>
                <w:szCs w:val="17"/>
                <w:color w:val="auto"/>
              </w:rPr>
            </w:pPr>
          </w:p>
        </w:tc>
        <w:tc>
          <w:tcPr>
            <w:tcW w:w="74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right w:val="single" w:sz="8" w:color="123054"/>
            </w:tcBorders>
            <w:shd w:val="clear" w:color="auto" w:fill="DBDBDB"/>
          </w:tcPr>
          <w:p>
            <w:pPr>
              <w:spacing w:after="0"/>
              <w:rPr>
                <w:sz w:val="17"/>
                <w:szCs w:val="17"/>
                <w:color w:val="auto"/>
              </w:rPr>
            </w:pPr>
          </w:p>
        </w:tc>
        <w:tc>
          <w:tcPr>
            <w:tcW w:w="8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210"/>
        </w:trPr>
        <w:tc>
          <w:tcPr>
            <w:tcW w:w="900" w:type="dxa"/>
            <w:vAlign w:val="bottom"/>
            <w:tcBorders>
              <w:bottom w:val="single" w:sz="8" w:color="DBDBDB"/>
              <w:right w:val="single" w:sz="8" w:color="123054"/>
            </w:tcBorders>
            <w:shd w:val="clear" w:color="auto" w:fill="DBDBDB"/>
          </w:tcPr>
          <w:p>
            <w:pPr>
              <w:spacing w:after="0"/>
              <w:rPr>
                <w:sz w:val="18"/>
                <w:szCs w:val="18"/>
                <w:color w:val="auto"/>
              </w:rPr>
            </w:pP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Shares (d)</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20"/>
        </w:trPr>
        <w:tc>
          <w:tcPr>
            <w:tcW w:w="900" w:type="dxa"/>
            <w:vAlign w:val="bottom"/>
            <w:tcBorders>
              <w:right w:val="single" w:sz="8" w:color="123054"/>
            </w:tcBorders>
            <w:shd w:val="clear" w:color="auto" w:fill="123054"/>
          </w:tcPr>
          <w:p>
            <w:pPr>
              <w:spacing w:after="0" w:line="20" w:lineRule="exact"/>
              <w:rPr>
                <w:sz w:val="1"/>
                <w:szCs w:val="1"/>
                <w:color w:val="auto"/>
              </w:rPr>
            </w:pPr>
          </w:p>
        </w:tc>
        <w:tc>
          <w:tcPr>
            <w:tcW w:w="880" w:type="dxa"/>
            <w:vAlign w:val="bottom"/>
            <w:tcBorders>
              <w:right w:val="single" w:sz="8" w:color="123054"/>
            </w:tcBorders>
            <w:shd w:val="clear" w:color="auto" w:fill="123054"/>
          </w:tcPr>
          <w:p>
            <w:pPr>
              <w:spacing w:after="0" w:line="20" w:lineRule="exact"/>
              <w:rPr>
                <w:sz w:val="1"/>
                <w:szCs w:val="1"/>
                <w:color w:val="auto"/>
              </w:rPr>
            </w:pPr>
          </w:p>
        </w:tc>
        <w:tc>
          <w:tcPr>
            <w:tcW w:w="800" w:type="dxa"/>
            <w:vAlign w:val="bottom"/>
            <w:tcBorders>
              <w:right w:val="single" w:sz="8" w:color="123054"/>
            </w:tcBorders>
            <w:shd w:val="clear" w:color="auto" w:fill="123054"/>
          </w:tcPr>
          <w:p>
            <w:pPr>
              <w:spacing w:after="0" w:line="20" w:lineRule="exact"/>
              <w:rPr>
                <w:sz w:val="1"/>
                <w:szCs w:val="1"/>
                <w:color w:val="auto"/>
              </w:rPr>
            </w:pPr>
          </w:p>
        </w:tc>
        <w:tc>
          <w:tcPr>
            <w:tcW w:w="880" w:type="dxa"/>
            <w:vAlign w:val="bottom"/>
            <w:tcBorders>
              <w:right w:val="single" w:sz="8" w:color="123054"/>
            </w:tcBorders>
            <w:shd w:val="clear" w:color="auto" w:fill="123054"/>
          </w:tcPr>
          <w:p>
            <w:pPr>
              <w:spacing w:after="0" w:line="20" w:lineRule="exact"/>
              <w:rPr>
                <w:sz w:val="1"/>
                <w:szCs w:val="1"/>
                <w:color w:val="auto"/>
              </w:rPr>
            </w:pPr>
          </w:p>
        </w:tc>
        <w:tc>
          <w:tcPr>
            <w:tcW w:w="60" w:type="dxa"/>
            <w:vAlign w:val="bottom"/>
            <w:shd w:val="clear" w:color="auto" w:fill="123054"/>
          </w:tcPr>
          <w:p>
            <w:pPr>
              <w:spacing w:after="0" w:line="20" w:lineRule="exact"/>
              <w:rPr>
                <w:sz w:val="1"/>
                <w:szCs w:val="1"/>
                <w:color w:val="auto"/>
              </w:rPr>
            </w:pPr>
          </w:p>
        </w:tc>
        <w:tc>
          <w:tcPr>
            <w:tcW w:w="740" w:type="dxa"/>
            <w:vAlign w:val="bottom"/>
            <w:tcBorders>
              <w:right w:val="single" w:sz="8" w:color="123054"/>
            </w:tcBorders>
            <w:shd w:val="clear" w:color="auto" w:fill="123054"/>
          </w:tcPr>
          <w:p>
            <w:pPr>
              <w:spacing w:after="0" w:line="20" w:lineRule="exact"/>
              <w:rPr>
                <w:sz w:val="1"/>
                <w:szCs w:val="1"/>
                <w:color w:val="auto"/>
              </w:rPr>
            </w:pPr>
          </w:p>
        </w:tc>
        <w:tc>
          <w:tcPr>
            <w:tcW w:w="820" w:type="dxa"/>
            <w:vAlign w:val="bottom"/>
            <w:tcBorders>
              <w:right w:val="single" w:sz="8" w:color="123054"/>
            </w:tcBorders>
            <w:shd w:val="clear" w:color="auto" w:fill="123054"/>
          </w:tcPr>
          <w:p>
            <w:pPr>
              <w:spacing w:after="0" w:line="20" w:lineRule="exact"/>
              <w:rPr>
                <w:sz w:val="1"/>
                <w:szCs w:val="1"/>
                <w:color w:val="auto"/>
              </w:rPr>
            </w:pPr>
          </w:p>
        </w:tc>
        <w:tc>
          <w:tcPr>
            <w:tcW w:w="880" w:type="dxa"/>
            <w:vAlign w:val="bottom"/>
            <w:tcBorders>
              <w:right w:val="single" w:sz="8" w:color="123054"/>
            </w:tcBorders>
            <w:shd w:val="clear" w:color="auto" w:fill="123054"/>
          </w:tcPr>
          <w:p>
            <w:pPr>
              <w:spacing w:after="0" w:line="20" w:lineRule="exact"/>
              <w:rPr>
                <w:sz w:val="1"/>
                <w:szCs w:val="1"/>
                <w:color w:val="auto"/>
              </w:rPr>
            </w:pPr>
          </w:p>
        </w:tc>
        <w:tc>
          <w:tcPr>
            <w:tcW w:w="800" w:type="dxa"/>
            <w:vAlign w:val="bottom"/>
            <w:tcBorders>
              <w:right w:val="single" w:sz="8" w:color="123054"/>
            </w:tcBorders>
            <w:shd w:val="clear" w:color="auto" w:fill="123054"/>
          </w:tcPr>
          <w:p>
            <w:pPr>
              <w:spacing w:after="0" w:line="20" w:lineRule="exact"/>
              <w:rPr>
                <w:sz w:val="1"/>
                <w:szCs w:val="1"/>
                <w:color w:val="auto"/>
              </w:rPr>
            </w:pPr>
          </w:p>
        </w:tc>
        <w:tc>
          <w:tcPr>
            <w:tcW w:w="800" w:type="dxa"/>
            <w:vAlign w:val="bottom"/>
            <w:tcBorders>
              <w:right w:val="single" w:sz="8" w:color="123054"/>
            </w:tcBorders>
            <w:shd w:val="clear" w:color="auto" w:fill="123054"/>
          </w:tcPr>
          <w:p>
            <w:pPr>
              <w:spacing w:after="0" w:line="20" w:lineRule="exact"/>
              <w:rPr>
                <w:sz w:val="1"/>
                <w:szCs w:val="1"/>
                <w:color w:val="auto"/>
              </w:rPr>
            </w:pPr>
          </w:p>
        </w:tc>
        <w:tc>
          <w:tcPr>
            <w:tcW w:w="1000" w:type="dxa"/>
            <w:vAlign w:val="bottom"/>
            <w:shd w:val="clear" w:color="auto" w:fill="1230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620" w:hanging="387"/>
        <w:spacing w:after="0" w:line="205" w:lineRule="auto"/>
        <w:tabs>
          <w:tab w:leader="none" w:pos="6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amounts shown under the “Threshold” column represent 25% of the target cash incentive compensation, assuming threshold-level performance is achieved under the financial performance measures and strategic objectives component. The amounts shown under the “Target” column represent 100% of the target cash incentive compensation, assuming target-level performance is achieved under the financial performance measures and strategic objectives component. The amounts shown under the “Maximum” column represent 150% of the target cash incentive compensation, assuming maximum-level performance is achieved under the financial performance measures and the strategic objectives component. The Company achieved 5% of "Target" for 2024.</w:t>
      </w:r>
    </w:p>
    <w:p>
      <w:pPr>
        <w:spacing w:after="0" w:line="1" w:lineRule="exact"/>
        <w:rPr>
          <w:rFonts w:ascii="Arial" w:cs="Arial" w:eastAsia="Arial" w:hAnsi="Arial"/>
          <w:sz w:val="13"/>
          <w:szCs w:val="13"/>
          <w:color w:val="auto"/>
        </w:rPr>
      </w:pPr>
    </w:p>
    <w:p>
      <w:pPr>
        <w:ind w:left="620" w:right="440" w:hanging="387"/>
        <w:spacing w:after="0" w:line="195" w:lineRule="auto"/>
        <w:tabs>
          <w:tab w:leader="none" w:pos="6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Shares of time-based restricted stock were granted pursuant to the Equity Incentive Plan. These restricted shares vest ratably in four equal, annual installments beginning one year from the date of the grant.</w:t>
      </w:r>
    </w:p>
    <w:p>
      <w:pPr>
        <w:ind w:left="620" w:hanging="387"/>
        <w:spacing w:after="0" w:line="208" w:lineRule="auto"/>
        <w:tabs>
          <w:tab w:leader="none" w:pos="6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Shares of performance-based restricted stock were granted pursuant to the Equity Incentive Plan. The amounts shown under the “Threshold” column represent 25% of the target grant award, assuming threshold-level performance is achieved under the performance vesting criteria in each of the fiscal years 2024, 2025, and 2026. The amounts shown under the “Target” column represent 100% of the target grant award, assuming target-level performance is achieved under the performance vesting criteria in each of the fiscal years 2024, 2025, and 2026. The amounts shown under the “Maximum” column represent 200% of the target grant award, assuming maximum-level performance is achieved under the performance vesting criteria in each of the fiscal years 2024, 2025, and 2026. Additional shares above Target performance, if any, will be issued following completion of the performance period and determination by the Compensation and Human Capital Committee that the additional shares above Target were earned. Shares above Target have not been issued and do not carry voting rights or rights to receive dividends. The dollar amounts under the “Grant Date Fair Value of Stock and Option Awards” are calculated based on the number of awards reported under the “Target” column.</w:t>
      </w:r>
    </w:p>
    <w:p>
      <w:pPr>
        <w:sectPr>
          <w:pgSz w:w="11900" w:h="16838" w:orient="portrait"/>
          <w:cols w:equalWidth="0" w:num="1">
            <w:col w:w="9240"/>
          </w:cols>
          <w:pgMar w:left="1440" w:top="1440" w:right="1219" w:bottom="0" w:gutter="0" w:footer="0" w:header="0"/>
          <w:type w:val="continuous"/>
        </w:sectPr>
      </w:pPr>
    </w:p>
    <w:bookmarkStart w:id="50" w:name="page51"/>
    <w:bookmarkEnd w:id="50"/>
    <w:p>
      <w:pPr>
        <w:ind w:left="620" w:hanging="387"/>
        <w:spacing w:after="0" w:line="393" w:lineRule="auto"/>
        <w:tabs>
          <w:tab w:leader="none" w:pos="620" w:val="left"/>
        </w:tabs>
        <w:numPr>
          <w:ilvl w:val="0"/>
          <w:numId w:val="61"/>
        </w:numPr>
        <w:rPr>
          <w:rFonts w:ascii="Arial" w:cs="Arial" w:eastAsia="Arial" w:hAnsi="Arial"/>
          <w:sz w:val="8"/>
          <w:szCs w:val="8"/>
          <w:color w:val="auto"/>
        </w:rPr>
      </w:pPr>
      <w:r>
        <w:rPr>
          <w:rFonts w:ascii="Arial" w:cs="Arial" w:eastAsia="Arial" w:hAnsi="Arial"/>
          <w:sz w:val="8"/>
          <w:szCs w:val="8"/>
          <w:color w:val="auto"/>
        </w:rPr>
        <w:t>theMarkettarget-basedgrantrestrictedaward,ahares</w:t>
      </w:r>
      <w:r>
        <w:rPr>
          <w:rFonts w:ascii="Arial" w:cs="Arial" w:eastAsia="Arial" w:hAnsi="Arial"/>
          <w:sz w:val="8"/>
          <w:szCs w:val="8"/>
          <w:b w:val="1"/>
          <w:bCs w:val="1"/>
          <w:color w:val="auto"/>
        </w:rPr>
        <w:t>s</w:t>
      </w:r>
      <w:r>
        <w:rPr>
          <w:rFonts w:ascii="Arial" w:cs="Arial" w:eastAsia="Arial" w:hAnsi="Arial"/>
          <w:sz w:val="8"/>
          <w:szCs w:val="8"/>
          <w:color w:val="auto"/>
        </w:rPr>
        <w:t>sumingwerethresholdgranted-levelpursuantperformancetotheEquityisachievedIncentiveunderPlanthe.Threl</w:t>
      </w:r>
      <w:r>
        <w:rPr>
          <w:rFonts w:ascii="Arial" w:cs="Arial" w:eastAsia="Arial" w:hAnsi="Arial"/>
          <w:sz w:val="8"/>
          <w:szCs w:val="8"/>
          <w:b w:val="1"/>
          <w:bCs w:val="1"/>
          <w:color w:val="auto"/>
        </w:rPr>
        <w:t>a</w:t>
      </w:r>
      <w:r>
        <w:rPr>
          <w:rFonts w:ascii="Arial" w:cs="Arial" w:eastAsia="Arial" w:hAnsi="Arial"/>
          <w:sz w:val="8"/>
          <w:szCs w:val="8"/>
          <w:color w:val="auto"/>
        </w:rPr>
        <w:t>mountstiveTSRshownvestingundercriteriathein“Threshold”eachofthecolumnfiscalyearsrpresent2024,25%2025,of and 2026. The amounts shown under the “Target” column represent 100% of the target grant award, assuming target-level performance is achieved under the relative TSR vesting criteria in each of the fiscal years 2024, 2025, and 2026. The amounts shown under the “Maximum” column represent 200% of the target grant award, assuming maximum-level attainment under the relative TSR vesting criteria in each of the fiscal years 2024, 2025, and 2026.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-361950</wp:posOffset>
            </wp:positionV>
            <wp:extent cx="6810375" cy="9791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0375" cy="979170"/>
                    </a:xfrm>
                    <a:prstGeom prst="rect">
                      <a:avLst/>
                    </a:prstGeom>
                    <a:noFill/>
                  </pic:spPr>
                </pic:pic>
              </a:graphicData>
            </a:graphic>
          </wp:anchor>
        </w:drawing>
      </w: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867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right="100"/>
        <w:spacing w:after="0" w:line="233" w:lineRule="auto"/>
        <w:rPr>
          <w:sz w:val="20"/>
          <w:szCs w:val="20"/>
          <w:color w:val="auto"/>
        </w:rPr>
      </w:pPr>
      <w:r>
        <w:rPr>
          <w:rFonts w:ascii="Arial" w:cs="Arial" w:eastAsia="Arial" w:hAnsi="Arial"/>
          <w:sz w:val="12"/>
          <w:szCs w:val="12"/>
          <w:color w:val="auto"/>
        </w:rPr>
        <w:t>shares above Target performance, if any, will be issued following completion of the performance period and determination by the Compensation and Human Capital Committee that the additional shares above Target were earned. Shares above Target have not been issued and do not carry voting rights</w:t>
      </w:r>
    </w:p>
    <w:p>
      <w:pPr>
        <w:spacing w:after="0" w:line="1" w:lineRule="exact"/>
        <w:rPr>
          <w:sz w:val="20"/>
          <w:szCs w:val="20"/>
          <w:color w:val="auto"/>
        </w:rPr>
      </w:pPr>
    </w:p>
    <w:p>
      <w:pPr>
        <w:ind w:left="620" w:right="200"/>
        <w:spacing w:after="0" w:line="221" w:lineRule="auto"/>
        <w:rPr>
          <w:sz w:val="20"/>
          <w:szCs w:val="20"/>
          <w:color w:val="auto"/>
        </w:rPr>
      </w:pPr>
      <w:r>
        <w:rPr>
          <w:rFonts w:ascii="Arial" w:cs="Arial" w:eastAsia="Arial" w:hAnsi="Arial"/>
          <w:sz w:val="13"/>
          <w:szCs w:val="13"/>
          <w:color w:val="auto"/>
        </w:rPr>
        <w:t>or rights to receive dividends. The dollar amounts under the “Grant Date Fair Value of Stock and Option Awards” are calculated based on the number of awards reported under the “Target” column.</w:t>
      </w:r>
    </w:p>
    <w:p>
      <w:pPr>
        <w:sectPr>
          <w:pgSz w:w="11900" w:h="16838" w:orient="portrait"/>
          <w:cols w:equalWidth="0" w:num="1">
            <w:col w:w="9260"/>
          </w:cols>
          <w:pgMar w:left="1440" w:top="108" w:right="1199"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048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504825"/>
                    </a:xfrm>
                    <a:prstGeom prst="rect">
                      <a:avLst/>
                    </a:prstGeom>
                    <a:noFill/>
                  </pic:spPr>
                </pic:pic>
              </a:graphicData>
            </a:graphic>
          </wp:anchor>
        </w:drawing>
      </w:r>
    </w:p>
    <w:p>
      <w:pPr>
        <w:sectPr>
          <w:pgSz w:w="11900" w:h="16838" w:orient="portrait"/>
          <w:cols w:equalWidth="0" w:num="1">
            <w:col w:w="9260"/>
          </w:cols>
          <w:pgMar w:left="1440" w:top="108" w:right="1199" w:bottom="1013" w:gutter="0" w:footer="0" w:header="0"/>
          <w:type w:val="continuous"/>
        </w:sectPr>
      </w:pPr>
    </w:p>
    <w:bookmarkStart w:id="51" w:name="page52"/>
    <w:bookmarkEnd w:id="5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3515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83515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30"/>
          <w:szCs w:val="30"/>
          <w:b w:val="1"/>
          <w:bCs w:val="1"/>
          <w:color w:val="123054"/>
        </w:rPr>
        <w:t>OUTSTANDING EQUITY AWARDS AT FISCAL2024YEAR-END</w:t>
      </w:r>
    </w:p>
    <w:p>
      <w:pPr>
        <w:spacing w:after="0" w:line="204" w:lineRule="exact"/>
        <w:rPr>
          <w:sz w:val="20"/>
          <w:szCs w:val="20"/>
          <w:color w:val="auto"/>
        </w:rPr>
      </w:pPr>
    </w:p>
    <w:p>
      <w:pPr>
        <w:ind w:left="140"/>
        <w:spacing w:after="0" w:line="245" w:lineRule="auto"/>
        <w:rPr>
          <w:sz w:val="20"/>
          <w:szCs w:val="20"/>
          <w:color w:val="auto"/>
        </w:rPr>
      </w:pPr>
      <w:r>
        <w:rPr>
          <w:rFonts w:ascii="Arial" w:cs="Arial" w:eastAsia="Arial" w:hAnsi="Arial"/>
          <w:sz w:val="20"/>
          <w:szCs w:val="20"/>
          <w:color w:val="auto"/>
        </w:rPr>
        <w:t>The following table provides information regarding unexercised stock options, stock that has not yet vested, and equity incentive plan awards for each NEO outstanding as of the end of 2024fiscal. Each outstanding award is represented by a separate row that indicates the number of securities underlying the award.</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980" w:type="dxa"/>
            <w:vAlign w:val="bottom"/>
            <w:tcBorders>
              <w:right w:val="single" w:sz="8" w:color="123054"/>
            </w:tcBorders>
            <w:shd w:val="clear" w:color="auto" w:fill="123054"/>
          </w:tcPr>
          <w:p>
            <w:pPr>
              <w:spacing w:after="0"/>
              <w:rPr>
                <w:sz w:val="18"/>
                <w:szCs w:val="18"/>
                <w:color w:val="auto"/>
              </w:rPr>
            </w:pPr>
          </w:p>
        </w:tc>
        <w:tc>
          <w:tcPr>
            <w:tcW w:w="40" w:type="dxa"/>
            <w:vAlign w:val="bottom"/>
            <w:shd w:val="clear" w:color="auto" w:fill="123054"/>
          </w:tcPr>
          <w:p>
            <w:pPr>
              <w:spacing w:after="0"/>
              <w:rPr>
                <w:sz w:val="18"/>
                <w:szCs w:val="18"/>
                <w:color w:val="auto"/>
              </w:rPr>
            </w:pPr>
          </w:p>
        </w:tc>
        <w:tc>
          <w:tcPr>
            <w:tcW w:w="1160" w:type="dxa"/>
            <w:vAlign w:val="bottom"/>
            <w:tcBorders>
              <w:right w:val="single" w:sz="8" w:color="123054"/>
            </w:tcBorders>
            <w:shd w:val="clear" w:color="auto" w:fill="123054"/>
          </w:tcPr>
          <w:p>
            <w:pPr>
              <w:jc w:val="right"/>
              <w:spacing w:after="0"/>
              <w:rPr>
                <w:sz w:val="20"/>
                <w:szCs w:val="20"/>
                <w:color w:val="auto"/>
              </w:rPr>
            </w:pPr>
            <w:r>
              <w:rPr>
                <w:rFonts w:ascii="Arial" w:cs="Arial" w:eastAsia="Arial" w:hAnsi="Arial"/>
                <w:sz w:val="14"/>
                <w:szCs w:val="14"/>
                <w:b w:val="1"/>
                <w:bCs w:val="1"/>
                <w:color w:val="FBFBFB"/>
              </w:rPr>
              <w:t>Options Awards</w:t>
            </w:r>
          </w:p>
        </w:tc>
        <w:tc>
          <w:tcPr>
            <w:tcW w:w="1080" w:type="dxa"/>
            <w:vAlign w:val="bottom"/>
            <w:tcBorders>
              <w:right w:val="single" w:sz="8" w:color="123054"/>
            </w:tcBorders>
            <w:shd w:val="clear" w:color="auto" w:fill="123054"/>
          </w:tcPr>
          <w:p>
            <w:pPr>
              <w:spacing w:after="0"/>
              <w:rPr>
                <w:sz w:val="18"/>
                <w:szCs w:val="18"/>
                <w:color w:val="auto"/>
              </w:rPr>
            </w:pPr>
          </w:p>
        </w:tc>
        <w:tc>
          <w:tcPr>
            <w:tcW w:w="60" w:type="dxa"/>
            <w:vAlign w:val="bottom"/>
            <w:shd w:val="clear" w:color="auto" w:fill="123054"/>
          </w:tcPr>
          <w:p>
            <w:pPr>
              <w:spacing w:after="0"/>
              <w:rPr>
                <w:sz w:val="18"/>
                <w:szCs w:val="18"/>
                <w:color w:val="auto"/>
              </w:rPr>
            </w:pPr>
          </w:p>
        </w:tc>
        <w:tc>
          <w:tcPr>
            <w:tcW w:w="960" w:type="dxa"/>
            <w:vAlign w:val="bottom"/>
            <w:shd w:val="clear" w:color="auto" w:fill="123054"/>
          </w:tcPr>
          <w:p>
            <w:pPr>
              <w:spacing w:after="0"/>
              <w:rPr>
                <w:sz w:val="18"/>
                <w:szCs w:val="18"/>
                <w:color w:val="auto"/>
              </w:rPr>
            </w:pPr>
          </w:p>
        </w:tc>
        <w:tc>
          <w:tcPr>
            <w:tcW w:w="220" w:type="dxa"/>
            <w:vAlign w:val="bottom"/>
            <w:tcBorders>
              <w:right w:val="single" w:sz="8" w:color="123054"/>
            </w:tcBorders>
            <w:shd w:val="clear" w:color="auto" w:fill="123054"/>
          </w:tcPr>
          <w:p>
            <w:pPr>
              <w:spacing w:after="0"/>
              <w:rPr>
                <w:sz w:val="18"/>
                <w:szCs w:val="18"/>
                <w:color w:val="auto"/>
              </w:rPr>
            </w:pPr>
          </w:p>
        </w:tc>
        <w:tc>
          <w:tcPr>
            <w:tcW w:w="120" w:type="dxa"/>
            <w:vAlign w:val="bottom"/>
            <w:shd w:val="clear" w:color="auto" w:fill="123054"/>
          </w:tcPr>
          <w:p>
            <w:pPr>
              <w:spacing w:after="0"/>
              <w:rPr>
                <w:sz w:val="18"/>
                <w:szCs w:val="18"/>
                <w:color w:val="auto"/>
              </w:rPr>
            </w:pPr>
          </w:p>
        </w:tc>
        <w:tc>
          <w:tcPr>
            <w:tcW w:w="620" w:type="dxa"/>
            <w:vAlign w:val="bottom"/>
            <w:tcBorders>
              <w:right w:val="single" w:sz="8" w:color="123054"/>
            </w:tcBorders>
            <w:shd w:val="clear" w:color="auto" w:fill="123054"/>
          </w:tcPr>
          <w:p>
            <w:pPr>
              <w:spacing w:after="0"/>
              <w:rPr>
                <w:sz w:val="18"/>
                <w:szCs w:val="18"/>
                <w:color w:val="auto"/>
              </w:rPr>
            </w:pPr>
          </w:p>
        </w:tc>
        <w:tc>
          <w:tcPr>
            <w:tcW w:w="760" w:type="dxa"/>
            <w:vAlign w:val="bottom"/>
            <w:tcBorders>
              <w:right w:val="single" w:sz="8" w:color="123054"/>
            </w:tcBorders>
            <w:shd w:val="clear" w:color="auto" w:fill="123054"/>
          </w:tcPr>
          <w:p>
            <w:pPr>
              <w:spacing w:after="0"/>
              <w:rPr>
                <w:sz w:val="18"/>
                <w:szCs w:val="18"/>
                <w:color w:val="auto"/>
              </w:rPr>
            </w:pPr>
          </w:p>
        </w:tc>
        <w:tc>
          <w:tcPr>
            <w:tcW w:w="2460" w:type="dxa"/>
            <w:vAlign w:val="bottom"/>
            <w:gridSpan w:val="4"/>
            <w:shd w:val="clear" w:color="auto" w:fill="123054"/>
          </w:tcPr>
          <w:p>
            <w:pPr>
              <w:ind w:left="780"/>
              <w:spacing w:after="0"/>
              <w:rPr>
                <w:sz w:val="20"/>
                <w:szCs w:val="20"/>
                <w:color w:val="auto"/>
              </w:rPr>
            </w:pPr>
            <w:r>
              <w:rPr>
                <w:rFonts w:ascii="Arial" w:cs="Arial" w:eastAsia="Arial" w:hAnsi="Arial"/>
                <w:sz w:val="14"/>
                <w:szCs w:val="14"/>
                <w:b w:val="1"/>
                <w:bCs w:val="1"/>
                <w:color w:val="FBFBFB"/>
              </w:rPr>
              <w:t>Stock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80" w:type="dxa"/>
            <w:vAlign w:val="bottom"/>
            <w:tcBorders>
              <w:right w:val="single" w:sz="8" w:color="123054"/>
            </w:tcBorders>
            <w:shd w:val="clear" w:color="auto" w:fill="123054"/>
          </w:tcPr>
          <w:p>
            <w:pPr>
              <w:spacing w:after="0"/>
              <w:rPr>
                <w:sz w:val="23"/>
                <w:szCs w:val="23"/>
                <w:color w:val="auto"/>
              </w:rPr>
            </w:pPr>
          </w:p>
        </w:tc>
        <w:tc>
          <w:tcPr>
            <w:tcW w:w="40" w:type="dxa"/>
            <w:vAlign w:val="bottom"/>
            <w:shd w:val="clear" w:color="auto" w:fill="123054"/>
          </w:tcPr>
          <w:p>
            <w:pPr>
              <w:spacing w:after="0"/>
              <w:rPr>
                <w:sz w:val="23"/>
                <w:szCs w:val="23"/>
                <w:color w:val="auto"/>
              </w:rPr>
            </w:pPr>
          </w:p>
        </w:tc>
        <w:tc>
          <w:tcPr>
            <w:tcW w:w="1160" w:type="dxa"/>
            <w:vAlign w:val="bottom"/>
            <w:tcBorders>
              <w:right w:val="single" w:sz="8" w:color="123054"/>
            </w:tcBorders>
            <w:shd w:val="clear" w:color="auto" w:fill="123054"/>
          </w:tcPr>
          <w:p>
            <w:pPr>
              <w:spacing w:after="0"/>
              <w:rPr>
                <w:sz w:val="23"/>
                <w:szCs w:val="23"/>
                <w:color w:val="auto"/>
              </w:rPr>
            </w:pPr>
          </w:p>
        </w:tc>
        <w:tc>
          <w:tcPr>
            <w:tcW w:w="1080" w:type="dxa"/>
            <w:vAlign w:val="bottom"/>
            <w:tcBorders>
              <w:right w:val="single" w:sz="8" w:color="123054"/>
            </w:tcBorders>
            <w:shd w:val="clear" w:color="auto" w:fill="123054"/>
          </w:tcPr>
          <w:p>
            <w:pPr>
              <w:spacing w:after="0"/>
              <w:rPr>
                <w:sz w:val="23"/>
                <w:szCs w:val="23"/>
                <w:color w:val="auto"/>
              </w:rPr>
            </w:pPr>
          </w:p>
        </w:tc>
        <w:tc>
          <w:tcPr>
            <w:tcW w:w="60" w:type="dxa"/>
            <w:vAlign w:val="bottom"/>
            <w:shd w:val="clear" w:color="auto" w:fill="123054"/>
          </w:tcPr>
          <w:p>
            <w:pPr>
              <w:spacing w:after="0"/>
              <w:rPr>
                <w:sz w:val="23"/>
                <w:szCs w:val="23"/>
                <w:color w:val="auto"/>
              </w:rPr>
            </w:pPr>
          </w:p>
        </w:tc>
        <w:tc>
          <w:tcPr>
            <w:tcW w:w="1300" w:type="dxa"/>
            <w:vAlign w:val="bottom"/>
            <w:gridSpan w:val="3"/>
            <w:vMerge w:val="restart"/>
            <w:shd w:val="clear" w:color="auto" w:fill="123054"/>
          </w:tcPr>
          <w:p>
            <w:pPr>
              <w:jc w:val="right"/>
              <w:ind w:right="108"/>
              <w:spacing w:after="0"/>
              <w:rPr>
                <w:sz w:val="20"/>
                <w:szCs w:val="20"/>
                <w:color w:val="auto"/>
              </w:rPr>
            </w:pPr>
            <w:r>
              <w:rPr>
                <w:rFonts w:ascii="Arial" w:cs="Arial" w:eastAsia="Arial" w:hAnsi="Arial"/>
                <w:sz w:val="14"/>
                <w:szCs w:val="14"/>
                <w:b w:val="1"/>
                <w:bCs w:val="1"/>
                <w:color w:val="FBFBFB"/>
              </w:rPr>
              <w:t>Equity Incentive</w:t>
            </w:r>
          </w:p>
        </w:tc>
        <w:tc>
          <w:tcPr>
            <w:tcW w:w="620" w:type="dxa"/>
            <w:vAlign w:val="bottom"/>
            <w:tcBorders>
              <w:right w:val="single" w:sz="8" w:color="123054"/>
            </w:tcBorders>
            <w:shd w:val="clear" w:color="auto" w:fill="123054"/>
          </w:tcPr>
          <w:p>
            <w:pPr>
              <w:spacing w:after="0"/>
              <w:rPr>
                <w:sz w:val="23"/>
                <w:szCs w:val="23"/>
                <w:color w:val="auto"/>
              </w:rPr>
            </w:pPr>
          </w:p>
        </w:tc>
        <w:tc>
          <w:tcPr>
            <w:tcW w:w="760" w:type="dxa"/>
            <w:vAlign w:val="bottom"/>
            <w:tcBorders>
              <w:right w:val="single" w:sz="8" w:color="123054"/>
            </w:tcBorders>
            <w:shd w:val="clear" w:color="auto" w:fill="123054"/>
          </w:tcPr>
          <w:p>
            <w:pPr>
              <w:spacing w:after="0"/>
              <w:rPr>
                <w:sz w:val="23"/>
                <w:szCs w:val="23"/>
                <w:color w:val="auto"/>
              </w:rPr>
            </w:pPr>
          </w:p>
        </w:tc>
        <w:tc>
          <w:tcPr>
            <w:tcW w:w="1140" w:type="dxa"/>
            <w:vAlign w:val="bottom"/>
            <w:gridSpan w:val="2"/>
            <w:shd w:val="clear" w:color="auto" w:fill="123054"/>
          </w:tcPr>
          <w:p>
            <w:pPr>
              <w:jc w:val="center"/>
              <w:spacing w:after="0"/>
              <w:rPr>
                <w:sz w:val="20"/>
                <w:szCs w:val="20"/>
                <w:color w:val="auto"/>
              </w:rPr>
            </w:pPr>
            <w:r>
              <w:rPr>
                <w:rFonts w:ascii="Arial" w:cs="Arial" w:eastAsia="Arial" w:hAnsi="Arial"/>
                <w:sz w:val="14"/>
                <w:szCs w:val="14"/>
                <w:b w:val="1"/>
                <w:bCs w:val="1"/>
                <w:color w:val="FBFBFB"/>
              </w:rPr>
              <w:t>Equity Incentive</w:t>
            </w:r>
          </w:p>
        </w:tc>
        <w:tc>
          <w:tcPr>
            <w:tcW w:w="100" w:type="dxa"/>
            <w:vAlign w:val="bottom"/>
            <w:shd w:val="clear" w:color="auto" w:fill="123054"/>
          </w:tcPr>
          <w:p>
            <w:pPr>
              <w:spacing w:after="0"/>
              <w:rPr>
                <w:sz w:val="23"/>
                <w:szCs w:val="23"/>
                <w:color w:val="auto"/>
              </w:rPr>
            </w:pPr>
          </w:p>
        </w:tc>
        <w:tc>
          <w:tcPr>
            <w:tcW w:w="1220" w:type="dxa"/>
            <w:vAlign w:val="bottom"/>
            <w:shd w:val="clear" w:color="auto" w:fill="123054"/>
          </w:tcPr>
          <w:p>
            <w:pPr>
              <w:jc w:val="center"/>
              <w:ind w:right="8"/>
              <w:spacing w:after="0"/>
              <w:rPr>
                <w:sz w:val="20"/>
                <w:szCs w:val="20"/>
                <w:color w:val="auto"/>
              </w:rPr>
            </w:pPr>
            <w:r>
              <w:rPr>
                <w:rFonts w:ascii="Arial" w:cs="Arial" w:eastAsia="Arial" w:hAnsi="Arial"/>
                <w:sz w:val="14"/>
                <w:szCs w:val="14"/>
                <w:b w:val="1"/>
                <w:bCs w:val="1"/>
                <w:color w:val="FBFBFB"/>
              </w:rPr>
              <w:t>Equity Incentive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spacing w:after="0"/>
              <w:rPr>
                <w:sz w:val="12"/>
                <w:szCs w:val="12"/>
                <w:color w:val="auto"/>
              </w:rPr>
            </w:pPr>
          </w:p>
        </w:tc>
        <w:tc>
          <w:tcPr>
            <w:tcW w:w="1080" w:type="dxa"/>
            <w:vAlign w:val="bottom"/>
            <w:tcBorders>
              <w:right w:val="single" w:sz="8" w:color="123054"/>
            </w:tcBorders>
            <w:shd w:val="clear" w:color="auto" w:fill="123054"/>
          </w:tcPr>
          <w:p>
            <w:pPr>
              <w:spacing w:after="0"/>
              <w:rPr>
                <w:sz w:val="12"/>
                <w:szCs w:val="12"/>
                <w:color w:val="auto"/>
              </w:rPr>
            </w:pPr>
          </w:p>
        </w:tc>
        <w:tc>
          <w:tcPr>
            <w:tcW w:w="60" w:type="dxa"/>
            <w:vAlign w:val="bottom"/>
            <w:shd w:val="clear" w:color="auto" w:fill="123054"/>
          </w:tcPr>
          <w:p>
            <w:pPr>
              <w:spacing w:after="0"/>
              <w:rPr>
                <w:sz w:val="12"/>
                <w:szCs w:val="12"/>
                <w:color w:val="auto"/>
              </w:rPr>
            </w:pPr>
          </w:p>
        </w:tc>
        <w:tc>
          <w:tcPr>
            <w:tcW w:w="1300" w:type="dxa"/>
            <w:vAlign w:val="bottom"/>
            <w:gridSpan w:val="3"/>
            <w:vMerge w:val="continue"/>
            <w:shd w:val="clear" w:color="auto" w:fill="123054"/>
          </w:tcPr>
          <w:p>
            <w:pPr>
              <w:spacing w:after="0"/>
              <w:rPr>
                <w:sz w:val="12"/>
                <w:szCs w:val="12"/>
                <w:color w:val="auto"/>
              </w:rPr>
            </w:pPr>
          </w:p>
        </w:tc>
        <w:tc>
          <w:tcPr>
            <w:tcW w:w="620" w:type="dxa"/>
            <w:vAlign w:val="bottom"/>
            <w:tcBorders>
              <w:right w:val="single" w:sz="8" w:color="123054"/>
            </w:tcBorders>
            <w:shd w:val="clear" w:color="auto" w:fill="123054"/>
          </w:tcPr>
          <w:p>
            <w:pPr>
              <w:spacing w:after="0"/>
              <w:rPr>
                <w:sz w:val="12"/>
                <w:szCs w:val="12"/>
                <w:color w:val="auto"/>
              </w:rPr>
            </w:pPr>
          </w:p>
        </w:tc>
        <w:tc>
          <w:tcPr>
            <w:tcW w:w="760" w:type="dxa"/>
            <w:vAlign w:val="bottom"/>
            <w:tcBorders>
              <w:right w:val="single" w:sz="8" w:color="123054"/>
            </w:tcBorders>
            <w:shd w:val="clear" w:color="auto" w:fill="123054"/>
          </w:tcPr>
          <w:p>
            <w:pPr>
              <w:spacing w:after="0"/>
              <w:rPr>
                <w:sz w:val="12"/>
                <w:szCs w:val="12"/>
                <w:color w:val="auto"/>
              </w:rPr>
            </w:pPr>
          </w:p>
        </w:tc>
        <w:tc>
          <w:tcPr>
            <w:tcW w:w="1140" w:type="dxa"/>
            <w:vAlign w:val="bottom"/>
            <w:gridSpan w:val="2"/>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Plan Awards:</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Plan 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4"/>
                <w:szCs w:val="14"/>
                <w:b w:val="1"/>
                <w:bCs w:val="1"/>
                <w:color w:val="FBFBFB"/>
              </w:rPr>
              <w:t>Number of</w:t>
            </w:r>
          </w:p>
        </w:tc>
        <w:tc>
          <w:tcPr>
            <w:tcW w:w="1140" w:type="dxa"/>
            <w:vAlign w:val="bottom"/>
            <w:gridSpan w:val="2"/>
            <w:vMerge w:val="restart"/>
            <w:shd w:val="clear" w:color="auto" w:fill="123054"/>
          </w:tcPr>
          <w:p>
            <w:pPr>
              <w:jc w:val="center"/>
              <w:ind w:right="20"/>
              <w:spacing w:after="0"/>
              <w:rPr>
                <w:sz w:val="20"/>
                <w:szCs w:val="20"/>
                <w:color w:val="auto"/>
              </w:rPr>
            </w:pPr>
            <w:r>
              <w:rPr>
                <w:rFonts w:ascii="Arial" w:cs="Arial" w:eastAsia="Arial" w:hAnsi="Arial"/>
                <w:sz w:val="14"/>
                <w:szCs w:val="14"/>
                <w:b w:val="1"/>
                <w:bCs w:val="1"/>
                <w:color w:val="FBFBFB"/>
              </w:rPr>
              <w:t>Number of</w:t>
            </w:r>
          </w:p>
        </w:tc>
        <w:tc>
          <w:tcPr>
            <w:tcW w:w="1300" w:type="dxa"/>
            <w:vAlign w:val="bottom"/>
            <w:gridSpan w:val="3"/>
            <w:shd w:val="clear" w:color="auto" w:fill="123054"/>
          </w:tcPr>
          <w:p>
            <w:pPr>
              <w:jc w:val="center"/>
              <w:ind w:right="68"/>
              <w:spacing w:after="0" w:line="139" w:lineRule="exact"/>
              <w:rPr>
                <w:sz w:val="20"/>
                <w:szCs w:val="20"/>
                <w:color w:val="auto"/>
              </w:rPr>
            </w:pPr>
            <w:r>
              <w:rPr>
                <w:rFonts w:ascii="Arial" w:cs="Arial" w:eastAsia="Arial" w:hAnsi="Arial"/>
                <w:sz w:val="14"/>
                <w:szCs w:val="14"/>
                <w:b w:val="1"/>
                <w:bCs w:val="1"/>
                <w:color w:val="FBFBFB"/>
              </w:rPr>
              <w:t>Plan Awards:</w:t>
            </w:r>
          </w:p>
        </w:tc>
        <w:tc>
          <w:tcPr>
            <w:tcW w:w="620" w:type="dxa"/>
            <w:vAlign w:val="bottom"/>
            <w:tcBorders>
              <w:right w:val="single" w:sz="8" w:color="123054"/>
            </w:tcBorders>
            <w:shd w:val="clear" w:color="auto" w:fill="123054"/>
          </w:tcPr>
          <w:p>
            <w:pPr>
              <w:spacing w:after="0"/>
              <w:rPr>
                <w:sz w:val="12"/>
                <w:szCs w:val="12"/>
                <w:color w:val="auto"/>
              </w:rPr>
            </w:pPr>
          </w:p>
        </w:tc>
        <w:tc>
          <w:tcPr>
            <w:tcW w:w="760" w:type="dxa"/>
            <w:vAlign w:val="bottom"/>
            <w:tcBorders>
              <w:right w:val="single" w:sz="8" w:color="123054"/>
            </w:tcBorders>
            <w:shd w:val="clear" w:color="auto" w:fill="123054"/>
          </w:tcPr>
          <w:p>
            <w:pPr>
              <w:spacing w:after="0"/>
              <w:rPr>
                <w:sz w:val="12"/>
                <w:szCs w:val="12"/>
                <w:color w:val="auto"/>
              </w:rPr>
            </w:pPr>
          </w:p>
        </w:tc>
        <w:tc>
          <w:tcPr>
            <w:tcW w:w="1140" w:type="dxa"/>
            <w:vAlign w:val="bottom"/>
            <w:gridSpan w:val="2"/>
            <w:shd w:val="clear" w:color="auto" w:fill="123054"/>
          </w:tcPr>
          <w:p>
            <w:pPr>
              <w:jc w:val="center"/>
              <w:ind w:right="20"/>
              <w:spacing w:after="0" w:line="139" w:lineRule="exact"/>
              <w:rPr>
                <w:sz w:val="20"/>
                <w:szCs w:val="20"/>
                <w:color w:val="auto"/>
              </w:rPr>
            </w:pPr>
            <w:r>
              <w:rPr>
                <w:rFonts w:ascii="Arial" w:cs="Arial" w:eastAsia="Arial" w:hAnsi="Arial"/>
                <w:sz w:val="14"/>
                <w:szCs w:val="14"/>
                <w:b w:val="1"/>
                <w:bCs w:val="1"/>
                <w:color w:val="FBFBFB"/>
              </w:rPr>
              <w:t>Number of</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ind w:right="48"/>
              <w:spacing w:after="0" w:line="139" w:lineRule="exact"/>
              <w:rPr>
                <w:sz w:val="20"/>
                <w:szCs w:val="20"/>
                <w:color w:val="auto"/>
              </w:rPr>
            </w:pPr>
            <w:r>
              <w:rPr>
                <w:rFonts w:ascii="Arial" w:cs="Arial" w:eastAsia="Arial" w:hAnsi="Arial"/>
                <w:sz w:val="14"/>
                <w:szCs w:val="14"/>
                <w:b w:val="1"/>
                <w:bCs w:val="1"/>
                <w:color w:val="FBFBFB"/>
              </w:rPr>
              <w:t>Market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vMerge w:val="continue"/>
            <w:shd w:val="clear" w:color="auto" w:fill="123054"/>
          </w:tcPr>
          <w:p>
            <w:pPr>
              <w:spacing w:after="0"/>
              <w:rPr>
                <w:sz w:val="12"/>
                <w:szCs w:val="12"/>
                <w:color w:val="auto"/>
              </w:rPr>
            </w:pPr>
          </w:p>
        </w:tc>
        <w:tc>
          <w:tcPr>
            <w:tcW w:w="1140" w:type="dxa"/>
            <w:vAlign w:val="bottom"/>
            <w:gridSpan w:val="2"/>
            <w:vMerge w:val="continue"/>
            <w:shd w:val="clear" w:color="auto" w:fill="123054"/>
          </w:tcPr>
          <w:p>
            <w:pPr>
              <w:spacing w:after="0"/>
              <w:rPr>
                <w:sz w:val="12"/>
                <w:szCs w:val="12"/>
                <w:color w:val="auto"/>
              </w:rPr>
            </w:pPr>
          </w:p>
        </w:tc>
        <w:tc>
          <w:tcPr>
            <w:tcW w:w="960" w:type="dxa"/>
            <w:vAlign w:val="bottom"/>
            <w:shd w:val="clear" w:color="auto" w:fill="123054"/>
          </w:tcPr>
          <w:p>
            <w:pPr>
              <w:jc w:val="center"/>
              <w:ind w:left="88"/>
              <w:spacing w:after="0" w:line="149" w:lineRule="exact"/>
              <w:rPr>
                <w:sz w:val="20"/>
                <w:szCs w:val="20"/>
                <w:color w:val="auto"/>
              </w:rPr>
            </w:pPr>
            <w:r>
              <w:rPr>
                <w:rFonts w:ascii="Arial" w:cs="Arial" w:eastAsia="Arial" w:hAnsi="Arial"/>
                <w:sz w:val="14"/>
                <w:szCs w:val="14"/>
                <w:b w:val="1"/>
                <w:bCs w:val="1"/>
                <w:color w:val="FBFBFB"/>
              </w:rPr>
              <w:t>Number of</w:t>
            </w:r>
          </w:p>
        </w:tc>
        <w:tc>
          <w:tcPr>
            <w:tcW w:w="220" w:type="dxa"/>
            <w:vAlign w:val="bottom"/>
            <w:tcBorders>
              <w:right w:val="single" w:sz="8" w:color="123054"/>
            </w:tcBorders>
            <w:shd w:val="clear" w:color="auto" w:fill="123054"/>
          </w:tcPr>
          <w:p>
            <w:pPr>
              <w:spacing w:after="0"/>
              <w:rPr>
                <w:sz w:val="12"/>
                <w:szCs w:val="12"/>
                <w:color w:val="auto"/>
              </w:rPr>
            </w:pPr>
          </w:p>
        </w:tc>
        <w:tc>
          <w:tcPr>
            <w:tcW w:w="120" w:type="dxa"/>
            <w:vAlign w:val="bottom"/>
            <w:shd w:val="clear" w:color="auto" w:fill="123054"/>
          </w:tcPr>
          <w:p>
            <w:pPr>
              <w:spacing w:after="0"/>
              <w:rPr>
                <w:sz w:val="12"/>
                <w:szCs w:val="12"/>
                <w:color w:val="auto"/>
              </w:rPr>
            </w:pPr>
          </w:p>
        </w:tc>
        <w:tc>
          <w:tcPr>
            <w:tcW w:w="620" w:type="dxa"/>
            <w:vAlign w:val="bottom"/>
            <w:tcBorders>
              <w:right w:val="single" w:sz="8" w:color="123054"/>
            </w:tcBorders>
            <w:shd w:val="clear" w:color="auto" w:fill="123054"/>
          </w:tcPr>
          <w:p>
            <w:pPr>
              <w:spacing w:after="0"/>
              <w:rPr>
                <w:sz w:val="12"/>
                <w:szCs w:val="12"/>
                <w:color w:val="auto"/>
              </w:rPr>
            </w:pPr>
          </w:p>
        </w:tc>
        <w:tc>
          <w:tcPr>
            <w:tcW w:w="760" w:type="dxa"/>
            <w:vAlign w:val="bottom"/>
            <w:tcBorders>
              <w:right w:val="single" w:sz="8" w:color="123054"/>
            </w:tcBorders>
            <w:shd w:val="clear" w:color="auto" w:fill="123054"/>
          </w:tcPr>
          <w:p>
            <w:pPr>
              <w:spacing w:after="0"/>
              <w:rPr>
                <w:sz w:val="12"/>
                <w:szCs w:val="12"/>
                <w:color w:val="auto"/>
              </w:rPr>
            </w:pPr>
          </w:p>
        </w:tc>
        <w:tc>
          <w:tcPr>
            <w:tcW w:w="1140" w:type="dxa"/>
            <w:vAlign w:val="bottom"/>
            <w:gridSpan w:val="2"/>
            <w:shd w:val="clear" w:color="auto" w:fill="123054"/>
          </w:tcPr>
          <w:p>
            <w:pPr>
              <w:jc w:val="center"/>
              <w:ind w:right="40"/>
              <w:spacing w:after="0" w:line="149" w:lineRule="exact"/>
              <w:rPr>
                <w:sz w:val="20"/>
                <w:szCs w:val="20"/>
                <w:color w:val="auto"/>
              </w:rPr>
            </w:pPr>
            <w:r>
              <w:rPr>
                <w:rFonts w:ascii="Arial" w:cs="Arial" w:eastAsia="Arial" w:hAnsi="Arial"/>
                <w:sz w:val="14"/>
                <w:szCs w:val="14"/>
                <w:b w:val="1"/>
                <w:bCs w:val="1"/>
                <w:color w:val="FBFBFB"/>
              </w:rPr>
              <w:t>Unearned</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ind w:right="8"/>
              <w:spacing w:after="0" w:line="149" w:lineRule="exact"/>
              <w:rPr>
                <w:sz w:val="20"/>
                <w:szCs w:val="20"/>
                <w:color w:val="auto"/>
              </w:rPr>
            </w:pPr>
            <w:r>
              <w:rPr>
                <w:rFonts w:ascii="Arial" w:cs="Arial" w:eastAsia="Arial" w:hAnsi="Arial"/>
                <w:sz w:val="14"/>
                <w:szCs w:val="14"/>
                <w:b w:val="1"/>
                <w:bCs w:val="1"/>
                <w:color w:val="FBFBFB"/>
              </w:rPr>
              <w:t>Payout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Securities</w:t>
            </w:r>
          </w:p>
        </w:tc>
        <w:tc>
          <w:tcPr>
            <w:tcW w:w="1140" w:type="dxa"/>
            <w:vAlign w:val="bottom"/>
            <w:gridSpan w:val="2"/>
            <w:shd w:val="clear" w:color="auto" w:fill="123054"/>
          </w:tcPr>
          <w:p>
            <w:pPr>
              <w:jc w:val="center"/>
              <w:ind w:right="20"/>
              <w:spacing w:after="0" w:line="145" w:lineRule="exact"/>
              <w:rPr>
                <w:sz w:val="20"/>
                <w:szCs w:val="20"/>
                <w:color w:val="auto"/>
              </w:rPr>
            </w:pPr>
            <w:r>
              <w:rPr>
                <w:rFonts w:ascii="Arial" w:cs="Arial" w:eastAsia="Arial" w:hAnsi="Arial"/>
                <w:sz w:val="14"/>
                <w:szCs w:val="14"/>
                <w:b w:val="1"/>
                <w:bCs w:val="1"/>
                <w:color w:val="FBFBFB"/>
              </w:rPr>
              <w:t>Securities</w:t>
            </w:r>
          </w:p>
        </w:tc>
        <w:tc>
          <w:tcPr>
            <w:tcW w:w="960" w:type="dxa"/>
            <w:vAlign w:val="bottom"/>
            <w:shd w:val="clear" w:color="auto" w:fill="123054"/>
          </w:tcPr>
          <w:p>
            <w:pPr>
              <w:jc w:val="center"/>
              <w:ind w:left="108"/>
              <w:spacing w:after="0" w:line="145" w:lineRule="exact"/>
              <w:rPr>
                <w:sz w:val="20"/>
                <w:szCs w:val="20"/>
                <w:color w:val="auto"/>
              </w:rPr>
            </w:pPr>
            <w:r>
              <w:rPr>
                <w:rFonts w:ascii="Arial" w:cs="Arial" w:eastAsia="Arial" w:hAnsi="Arial"/>
                <w:sz w:val="14"/>
                <w:szCs w:val="14"/>
                <w:b w:val="1"/>
                <w:bCs w:val="1"/>
                <w:color w:val="FBFBFB"/>
              </w:rPr>
              <w:t>Securities</w:t>
            </w:r>
          </w:p>
        </w:tc>
        <w:tc>
          <w:tcPr>
            <w:tcW w:w="220" w:type="dxa"/>
            <w:vAlign w:val="bottom"/>
            <w:tcBorders>
              <w:right w:val="single" w:sz="8" w:color="123054"/>
            </w:tcBorders>
            <w:shd w:val="clear" w:color="auto" w:fill="123054"/>
          </w:tcPr>
          <w:p>
            <w:pPr>
              <w:spacing w:after="0"/>
              <w:rPr>
                <w:sz w:val="12"/>
                <w:szCs w:val="12"/>
                <w:color w:val="auto"/>
              </w:rPr>
            </w:pPr>
          </w:p>
        </w:tc>
        <w:tc>
          <w:tcPr>
            <w:tcW w:w="120" w:type="dxa"/>
            <w:vAlign w:val="bottom"/>
            <w:shd w:val="clear" w:color="auto" w:fill="123054"/>
          </w:tcPr>
          <w:p>
            <w:pPr>
              <w:spacing w:after="0"/>
              <w:rPr>
                <w:sz w:val="12"/>
                <w:szCs w:val="12"/>
                <w:color w:val="auto"/>
              </w:rPr>
            </w:pPr>
          </w:p>
        </w:tc>
        <w:tc>
          <w:tcPr>
            <w:tcW w:w="620" w:type="dxa"/>
            <w:vAlign w:val="bottom"/>
            <w:tcBorders>
              <w:right w:val="single" w:sz="8" w:color="123054"/>
            </w:tcBorders>
            <w:shd w:val="clear" w:color="auto" w:fill="123054"/>
          </w:tcPr>
          <w:p>
            <w:pPr>
              <w:spacing w:after="0"/>
              <w:rPr>
                <w:sz w:val="12"/>
                <w:szCs w:val="12"/>
                <w:color w:val="auto"/>
              </w:rPr>
            </w:pPr>
          </w:p>
        </w:tc>
        <w:tc>
          <w:tcPr>
            <w:tcW w:w="760" w:type="dxa"/>
            <w:vAlign w:val="bottom"/>
            <w:tcBorders>
              <w:right w:val="single" w:sz="8" w:color="123054"/>
            </w:tcBorders>
            <w:shd w:val="clear" w:color="auto" w:fill="123054"/>
          </w:tcPr>
          <w:p>
            <w:pPr>
              <w:spacing w:after="0"/>
              <w:rPr>
                <w:sz w:val="12"/>
                <w:szCs w:val="12"/>
                <w:color w:val="auto"/>
              </w:rPr>
            </w:pPr>
          </w:p>
        </w:tc>
        <w:tc>
          <w:tcPr>
            <w:tcW w:w="1140" w:type="dxa"/>
            <w:vAlign w:val="bottom"/>
            <w:gridSpan w:val="2"/>
            <w:shd w:val="clear" w:color="auto" w:fill="123054"/>
          </w:tcPr>
          <w:p>
            <w:pPr>
              <w:jc w:val="center"/>
              <w:ind w:right="20"/>
              <w:spacing w:after="0" w:line="145" w:lineRule="exact"/>
              <w:rPr>
                <w:sz w:val="20"/>
                <w:szCs w:val="20"/>
                <w:color w:val="auto"/>
              </w:rPr>
            </w:pPr>
            <w:r>
              <w:rPr>
                <w:rFonts w:ascii="Arial" w:cs="Arial" w:eastAsia="Arial" w:hAnsi="Arial"/>
                <w:sz w:val="14"/>
                <w:szCs w:val="14"/>
                <w:b w:val="1"/>
                <w:bCs w:val="1"/>
                <w:color w:val="FBFBFB"/>
              </w:rPr>
              <w:t>Shares,</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ind w:right="48"/>
              <w:spacing w:after="0" w:line="145" w:lineRule="exact"/>
              <w:rPr>
                <w:sz w:val="20"/>
                <w:szCs w:val="20"/>
                <w:color w:val="auto"/>
              </w:rPr>
            </w:pPr>
            <w:r>
              <w:rPr>
                <w:rFonts w:ascii="Arial" w:cs="Arial" w:eastAsia="Arial" w:hAnsi="Arial"/>
                <w:sz w:val="14"/>
                <w:szCs w:val="14"/>
                <w:b w:val="1"/>
                <w:bCs w:val="1"/>
                <w:color w:val="FBFBFB"/>
              </w:rPr>
              <w:t>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jc w:val="center"/>
              <w:spacing w:after="0" w:line="139" w:lineRule="exact"/>
              <w:rPr>
                <w:sz w:val="20"/>
                <w:szCs w:val="20"/>
                <w:color w:val="auto"/>
              </w:rPr>
            </w:pPr>
            <w:r>
              <w:rPr>
                <w:rFonts w:ascii="Arial" w:cs="Arial" w:eastAsia="Arial" w:hAnsi="Arial"/>
                <w:sz w:val="14"/>
                <w:szCs w:val="14"/>
                <w:b w:val="1"/>
                <w:bCs w:val="1"/>
                <w:color w:val="FBFBFB"/>
              </w:rPr>
              <w:t>Underlying</w:t>
            </w:r>
          </w:p>
        </w:tc>
        <w:tc>
          <w:tcPr>
            <w:tcW w:w="1140" w:type="dxa"/>
            <w:vAlign w:val="bottom"/>
            <w:gridSpan w:val="2"/>
            <w:shd w:val="clear" w:color="auto" w:fill="123054"/>
          </w:tcPr>
          <w:p>
            <w:pPr>
              <w:jc w:val="center"/>
              <w:ind w:right="40"/>
              <w:spacing w:after="0" w:line="139" w:lineRule="exact"/>
              <w:rPr>
                <w:sz w:val="20"/>
                <w:szCs w:val="20"/>
                <w:color w:val="auto"/>
              </w:rPr>
            </w:pPr>
            <w:r>
              <w:rPr>
                <w:rFonts w:ascii="Arial" w:cs="Arial" w:eastAsia="Arial" w:hAnsi="Arial"/>
                <w:sz w:val="14"/>
                <w:szCs w:val="14"/>
                <w:b w:val="1"/>
                <w:bCs w:val="1"/>
                <w:color w:val="FBFBFB"/>
              </w:rPr>
              <w:t>Underlying</w:t>
            </w:r>
          </w:p>
        </w:tc>
        <w:tc>
          <w:tcPr>
            <w:tcW w:w="960" w:type="dxa"/>
            <w:vAlign w:val="bottom"/>
            <w:shd w:val="clear" w:color="auto" w:fill="123054"/>
          </w:tcPr>
          <w:p>
            <w:pPr>
              <w:jc w:val="center"/>
              <w:ind w:left="108"/>
              <w:spacing w:after="0" w:line="139" w:lineRule="exact"/>
              <w:rPr>
                <w:sz w:val="20"/>
                <w:szCs w:val="20"/>
                <w:color w:val="auto"/>
              </w:rPr>
            </w:pPr>
            <w:r>
              <w:rPr>
                <w:rFonts w:ascii="Arial" w:cs="Arial" w:eastAsia="Arial" w:hAnsi="Arial"/>
                <w:sz w:val="14"/>
                <w:szCs w:val="14"/>
                <w:b w:val="1"/>
                <w:bCs w:val="1"/>
                <w:color w:val="FBFBFB"/>
              </w:rPr>
              <w:t>Underlying</w:t>
            </w:r>
          </w:p>
        </w:tc>
        <w:tc>
          <w:tcPr>
            <w:tcW w:w="220" w:type="dxa"/>
            <w:vAlign w:val="bottom"/>
            <w:tcBorders>
              <w:right w:val="single" w:sz="8" w:color="123054"/>
            </w:tcBorders>
            <w:shd w:val="clear" w:color="auto" w:fill="123054"/>
          </w:tcPr>
          <w:p>
            <w:pPr>
              <w:spacing w:after="0"/>
              <w:rPr>
                <w:sz w:val="12"/>
                <w:szCs w:val="12"/>
                <w:color w:val="auto"/>
              </w:rPr>
            </w:pPr>
          </w:p>
        </w:tc>
        <w:tc>
          <w:tcPr>
            <w:tcW w:w="120" w:type="dxa"/>
            <w:vAlign w:val="bottom"/>
            <w:shd w:val="clear" w:color="auto" w:fill="123054"/>
          </w:tcPr>
          <w:p>
            <w:pPr>
              <w:spacing w:after="0"/>
              <w:rPr>
                <w:sz w:val="12"/>
                <w:szCs w:val="12"/>
                <w:color w:val="auto"/>
              </w:rPr>
            </w:pPr>
          </w:p>
        </w:tc>
        <w:tc>
          <w:tcPr>
            <w:tcW w:w="620" w:type="dxa"/>
            <w:vAlign w:val="bottom"/>
            <w:tcBorders>
              <w:right w:val="single" w:sz="8" w:color="123054"/>
            </w:tcBorders>
            <w:vMerge w:val="restart"/>
            <w:shd w:val="clear" w:color="auto" w:fill="123054"/>
          </w:tcPr>
          <w:p>
            <w:pPr>
              <w:jc w:val="center"/>
              <w:ind w:right="48"/>
              <w:spacing w:after="0"/>
              <w:rPr>
                <w:sz w:val="20"/>
                <w:szCs w:val="20"/>
                <w:color w:val="auto"/>
              </w:rPr>
            </w:pPr>
            <w:r>
              <w:rPr>
                <w:rFonts w:ascii="Arial" w:cs="Arial" w:eastAsia="Arial" w:hAnsi="Arial"/>
                <w:sz w:val="14"/>
                <w:szCs w:val="14"/>
                <w:b w:val="1"/>
                <w:bCs w:val="1"/>
                <w:color w:val="FBFBFB"/>
              </w:rPr>
              <w:t>Option</w:t>
            </w:r>
          </w:p>
        </w:tc>
        <w:tc>
          <w:tcPr>
            <w:tcW w:w="760" w:type="dxa"/>
            <w:vAlign w:val="bottom"/>
            <w:tcBorders>
              <w:right w:val="single" w:sz="8" w:color="123054"/>
            </w:tcBorders>
            <w:shd w:val="clear" w:color="auto" w:fill="123054"/>
          </w:tcPr>
          <w:p>
            <w:pPr>
              <w:spacing w:after="0"/>
              <w:rPr>
                <w:sz w:val="12"/>
                <w:szCs w:val="12"/>
                <w:color w:val="auto"/>
              </w:rPr>
            </w:pPr>
          </w:p>
        </w:tc>
        <w:tc>
          <w:tcPr>
            <w:tcW w:w="1140" w:type="dxa"/>
            <w:vAlign w:val="bottom"/>
            <w:gridSpan w:val="2"/>
            <w:shd w:val="clear" w:color="auto" w:fill="123054"/>
          </w:tcPr>
          <w:p>
            <w:pPr>
              <w:jc w:val="center"/>
              <w:ind w:right="40"/>
              <w:spacing w:after="0" w:line="139" w:lineRule="exact"/>
              <w:rPr>
                <w:sz w:val="20"/>
                <w:szCs w:val="20"/>
                <w:color w:val="auto"/>
              </w:rPr>
            </w:pPr>
            <w:r>
              <w:rPr>
                <w:rFonts w:ascii="Arial" w:cs="Arial" w:eastAsia="Arial" w:hAnsi="Arial"/>
                <w:sz w:val="14"/>
                <w:szCs w:val="14"/>
                <w:b w:val="1"/>
                <w:bCs w:val="1"/>
                <w:color w:val="FBFBFB"/>
              </w:rPr>
              <w:t>Units or</w:t>
            </w:r>
          </w:p>
        </w:tc>
        <w:tc>
          <w:tcPr>
            <w:tcW w:w="1320" w:type="dxa"/>
            <w:vAlign w:val="bottom"/>
            <w:gridSpan w:val="2"/>
            <w:shd w:val="clear" w:color="auto" w:fill="123054"/>
          </w:tcPr>
          <w:p>
            <w:pPr>
              <w:jc w:val="center"/>
              <w:spacing w:after="0" w:line="139" w:lineRule="exact"/>
              <w:rPr>
                <w:sz w:val="20"/>
                <w:szCs w:val="20"/>
                <w:color w:val="auto"/>
              </w:rPr>
            </w:pPr>
            <w:r>
              <w:rPr>
                <w:rFonts w:ascii="Arial" w:cs="Arial" w:eastAsia="Arial" w:hAnsi="Arial"/>
                <w:sz w:val="14"/>
                <w:szCs w:val="14"/>
                <w:b w:val="1"/>
                <w:bCs w:val="1"/>
                <w:color w:val="FBFBFB"/>
              </w:rPr>
              <w:t>Unearned 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jc w:val="center"/>
              <w:spacing w:after="0" w:line="149" w:lineRule="exact"/>
              <w:rPr>
                <w:sz w:val="20"/>
                <w:szCs w:val="20"/>
                <w:color w:val="auto"/>
              </w:rPr>
            </w:pPr>
            <w:r>
              <w:rPr>
                <w:rFonts w:ascii="Arial" w:cs="Arial" w:eastAsia="Arial" w:hAnsi="Arial"/>
                <w:sz w:val="14"/>
                <w:szCs w:val="14"/>
                <w:b w:val="1"/>
                <w:bCs w:val="1"/>
                <w:color w:val="FBFBFB"/>
              </w:rPr>
              <w:t>Unexercised</w:t>
            </w:r>
          </w:p>
        </w:tc>
        <w:tc>
          <w:tcPr>
            <w:tcW w:w="1140" w:type="dxa"/>
            <w:vAlign w:val="bottom"/>
            <w:gridSpan w:val="2"/>
            <w:shd w:val="clear" w:color="auto" w:fill="123054"/>
          </w:tcPr>
          <w:p>
            <w:pPr>
              <w:jc w:val="center"/>
              <w:spacing w:after="0" w:line="149" w:lineRule="exact"/>
              <w:rPr>
                <w:sz w:val="20"/>
                <w:szCs w:val="20"/>
                <w:color w:val="auto"/>
              </w:rPr>
            </w:pPr>
            <w:r>
              <w:rPr>
                <w:rFonts w:ascii="Arial" w:cs="Arial" w:eastAsia="Arial" w:hAnsi="Arial"/>
                <w:sz w:val="14"/>
                <w:szCs w:val="14"/>
                <w:b w:val="1"/>
                <w:bCs w:val="1"/>
                <w:color w:val="FBFBFB"/>
              </w:rPr>
              <w:t>Unexercised</w:t>
            </w:r>
          </w:p>
        </w:tc>
        <w:tc>
          <w:tcPr>
            <w:tcW w:w="1300" w:type="dxa"/>
            <w:vAlign w:val="bottom"/>
            <w:gridSpan w:val="3"/>
            <w:shd w:val="clear" w:color="auto" w:fill="123054"/>
          </w:tcPr>
          <w:p>
            <w:pPr>
              <w:jc w:val="center"/>
              <w:ind w:right="68"/>
              <w:spacing w:after="0" w:line="149" w:lineRule="exact"/>
              <w:rPr>
                <w:sz w:val="20"/>
                <w:szCs w:val="20"/>
                <w:color w:val="auto"/>
              </w:rPr>
            </w:pPr>
            <w:r>
              <w:rPr>
                <w:rFonts w:ascii="Arial" w:cs="Arial" w:eastAsia="Arial" w:hAnsi="Arial"/>
                <w:sz w:val="14"/>
                <w:szCs w:val="14"/>
                <w:b w:val="1"/>
                <w:bCs w:val="1"/>
                <w:color w:val="FBFBFB"/>
              </w:rPr>
              <w:t>Unexercised</w:t>
            </w:r>
          </w:p>
        </w:tc>
        <w:tc>
          <w:tcPr>
            <w:tcW w:w="620" w:type="dxa"/>
            <w:vAlign w:val="bottom"/>
            <w:tcBorders>
              <w:right w:val="single" w:sz="8" w:color="123054"/>
            </w:tcBorders>
            <w:vMerge w:val="continue"/>
            <w:shd w:val="clear" w:color="auto" w:fill="123054"/>
          </w:tcPr>
          <w:p>
            <w:pPr>
              <w:spacing w:after="0"/>
              <w:rPr>
                <w:sz w:val="12"/>
                <w:szCs w:val="12"/>
                <w:color w:val="auto"/>
              </w:rPr>
            </w:pPr>
          </w:p>
        </w:tc>
        <w:tc>
          <w:tcPr>
            <w:tcW w:w="76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4"/>
                <w:szCs w:val="14"/>
                <w:b w:val="1"/>
                <w:bCs w:val="1"/>
                <w:color w:val="FBFBFB"/>
              </w:rPr>
              <w:t>Option</w:t>
            </w:r>
          </w:p>
        </w:tc>
        <w:tc>
          <w:tcPr>
            <w:tcW w:w="1140" w:type="dxa"/>
            <w:vAlign w:val="bottom"/>
            <w:gridSpan w:val="2"/>
            <w:shd w:val="clear" w:color="auto" w:fill="123054"/>
          </w:tcPr>
          <w:p>
            <w:pPr>
              <w:jc w:val="center"/>
              <w:spacing w:after="0" w:line="149" w:lineRule="exact"/>
              <w:rPr>
                <w:sz w:val="20"/>
                <w:szCs w:val="20"/>
                <w:color w:val="auto"/>
              </w:rPr>
            </w:pPr>
            <w:r>
              <w:rPr>
                <w:rFonts w:ascii="Arial" w:cs="Arial" w:eastAsia="Arial" w:hAnsi="Arial"/>
                <w:sz w:val="14"/>
                <w:szCs w:val="14"/>
                <w:b w:val="1"/>
                <w:bCs w:val="1"/>
                <w:color w:val="FBFBFB"/>
              </w:rPr>
              <w:t>Other Rights</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ind w:right="8"/>
              <w:spacing w:after="0" w:line="149" w:lineRule="exact"/>
              <w:rPr>
                <w:sz w:val="20"/>
                <w:szCs w:val="20"/>
                <w:color w:val="auto"/>
              </w:rPr>
            </w:pPr>
            <w:r>
              <w:rPr>
                <w:rFonts w:ascii="Arial" w:cs="Arial" w:eastAsia="Arial" w:hAnsi="Arial"/>
                <w:sz w:val="14"/>
                <w:szCs w:val="14"/>
                <w:b w:val="1"/>
                <w:bCs w:val="1"/>
                <w:color w:val="FBFBFB"/>
              </w:rPr>
              <w:t>Units or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Borders>
              <w:right w:val="single" w:sz="8" w:color="123054"/>
            </w:tcBorders>
            <w:shd w:val="clear" w:color="auto" w:fill="123054"/>
          </w:tcPr>
          <w:p>
            <w:pPr>
              <w:spacing w:after="0"/>
              <w:rPr>
                <w:sz w:val="12"/>
                <w:szCs w:val="12"/>
                <w:color w:val="auto"/>
              </w:rPr>
            </w:pP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Options</w:t>
            </w:r>
          </w:p>
        </w:tc>
        <w:tc>
          <w:tcPr>
            <w:tcW w:w="1140" w:type="dxa"/>
            <w:vAlign w:val="bottom"/>
            <w:gridSpan w:val="2"/>
            <w:shd w:val="clear" w:color="auto" w:fill="123054"/>
          </w:tcPr>
          <w:p>
            <w:pPr>
              <w:jc w:val="center"/>
              <w:ind w:right="40"/>
              <w:spacing w:after="0" w:line="145" w:lineRule="exact"/>
              <w:rPr>
                <w:sz w:val="20"/>
                <w:szCs w:val="20"/>
                <w:color w:val="auto"/>
              </w:rPr>
            </w:pPr>
            <w:r>
              <w:rPr>
                <w:rFonts w:ascii="Arial" w:cs="Arial" w:eastAsia="Arial" w:hAnsi="Arial"/>
                <w:sz w:val="14"/>
                <w:szCs w:val="14"/>
                <w:b w:val="1"/>
                <w:bCs w:val="1"/>
                <w:color w:val="FBFBFB"/>
              </w:rPr>
              <w:t>Options</w:t>
            </w:r>
          </w:p>
        </w:tc>
        <w:tc>
          <w:tcPr>
            <w:tcW w:w="960" w:type="dxa"/>
            <w:vAlign w:val="bottom"/>
            <w:shd w:val="clear" w:color="auto" w:fill="123054"/>
          </w:tcPr>
          <w:p>
            <w:pPr>
              <w:jc w:val="center"/>
              <w:ind w:left="108"/>
              <w:spacing w:after="0" w:line="145" w:lineRule="exact"/>
              <w:rPr>
                <w:sz w:val="20"/>
                <w:szCs w:val="20"/>
                <w:color w:val="auto"/>
              </w:rPr>
            </w:pPr>
            <w:r>
              <w:rPr>
                <w:rFonts w:ascii="Arial" w:cs="Arial" w:eastAsia="Arial" w:hAnsi="Arial"/>
                <w:sz w:val="14"/>
                <w:szCs w:val="14"/>
                <w:b w:val="1"/>
                <w:bCs w:val="1"/>
                <w:color w:val="FBFBFB"/>
              </w:rPr>
              <w:t>Unearned</w:t>
            </w:r>
          </w:p>
        </w:tc>
        <w:tc>
          <w:tcPr>
            <w:tcW w:w="220" w:type="dxa"/>
            <w:vAlign w:val="bottom"/>
            <w:tcBorders>
              <w:right w:val="single" w:sz="8" w:color="123054"/>
            </w:tcBorders>
            <w:shd w:val="clear" w:color="auto" w:fill="123054"/>
          </w:tcPr>
          <w:p>
            <w:pPr>
              <w:spacing w:after="0"/>
              <w:rPr>
                <w:sz w:val="12"/>
                <w:szCs w:val="12"/>
                <w:color w:val="auto"/>
              </w:rPr>
            </w:pPr>
          </w:p>
        </w:tc>
        <w:tc>
          <w:tcPr>
            <w:tcW w:w="740" w:type="dxa"/>
            <w:vAlign w:val="bottom"/>
            <w:tcBorders>
              <w:right w:val="single" w:sz="8" w:color="123054"/>
            </w:tcBorders>
            <w:gridSpan w:val="2"/>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Exercise</w:t>
            </w:r>
          </w:p>
        </w:tc>
        <w:tc>
          <w:tcPr>
            <w:tcW w:w="760" w:type="dxa"/>
            <w:vAlign w:val="bottom"/>
            <w:tcBorders>
              <w:right w:val="single" w:sz="8" w:color="123054"/>
            </w:tcBorders>
            <w:vMerge w:val="continue"/>
            <w:shd w:val="clear" w:color="auto" w:fill="123054"/>
          </w:tcPr>
          <w:p>
            <w:pPr>
              <w:spacing w:after="0"/>
              <w:rPr>
                <w:sz w:val="12"/>
                <w:szCs w:val="12"/>
                <w:color w:val="auto"/>
              </w:rPr>
            </w:pPr>
          </w:p>
        </w:tc>
        <w:tc>
          <w:tcPr>
            <w:tcW w:w="1140" w:type="dxa"/>
            <w:vAlign w:val="bottom"/>
            <w:gridSpan w:val="2"/>
            <w:shd w:val="clear" w:color="auto" w:fill="123054"/>
          </w:tcPr>
          <w:p>
            <w:pPr>
              <w:jc w:val="center"/>
              <w:ind w:right="20"/>
              <w:spacing w:after="0" w:line="145" w:lineRule="exact"/>
              <w:rPr>
                <w:sz w:val="20"/>
                <w:szCs w:val="20"/>
                <w:color w:val="auto"/>
              </w:rPr>
            </w:pPr>
            <w:r>
              <w:rPr>
                <w:rFonts w:ascii="Arial" w:cs="Arial" w:eastAsia="Arial" w:hAnsi="Arial"/>
                <w:sz w:val="14"/>
                <w:szCs w:val="14"/>
                <w:b w:val="1"/>
                <w:bCs w:val="1"/>
                <w:color w:val="FBFBFB"/>
              </w:rPr>
              <w:t>That Have</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spacing w:after="0" w:line="145" w:lineRule="exact"/>
              <w:rPr>
                <w:sz w:val="20"/>
                <w:szCs w:val="20"/>
                <w:color w:val="auto"/>
              </w:rPr>
            </w:pPr>
            <w:r>
              <w:rPr>
                <w:rFonts w:ascii="Arial" w:cs="Arial" w:eastAsia="Arial" w:hAnsi="Arial"/>
                <w:sz w:val="14"/>
                <w:szCs w:val="14"/>
                <w:b w:val="1"/>
                <w:bCs w:val="1"/>
                <w:color w:val="FBFBFB"/>
              </w:rPr>
              <w:t>Rights That Have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tcBorders>
              <w:right w:val="single" w:sz="8" w:color="123054"/>
            </w:tcBorders>
            <w:vMerge w:val="restart"/>
            <w:shd w:val="clear" w:color="auto" w:fill="123054"/>
          </w:tcPr>
          <w:p>
            <w:pPr>
              <w:ind w:left="20"/>
              <w:spacing w:after="0"/>
              <w:rPr>
                <w:sz w:val="20"/>
                <w:szCs w:val="20"/>
                <w:color w:val="auto"/>
              </w:rPr>
            </w:pPr>
            <w:r>
              <w:rPr>
                <w:rFonts w:ascii="Arial" w:cs="Arial" w:eastAsia="Arial" w:hAnsi="Arial"/>
                <w:sz w:val="14"/>
                <w:szCs w:val="14"/>
                <w:b w:val="1"/>
                <w:bCs w:val="1"/>
                <w:color w:val="FBFBFB"/>
              </w:rPr>
              <w:t>Name</w:t>
            </w:r>
          </w:p>
        </w:tc>
        <w:tc>
          <w:tcPr>
            <w:tcW w:w="40" w:type="dxa"/>
            <w:vAlign w:val="bottom"/>
            <w:shd w:val="clear" w:color="auto" w:fill="123054"/>
          </w:tcPr>
          <w:p>
            <w:pPr>
              <w:spacing w:after="0"/>
              <w:rPr>
                <w:sz w:val="12"/>
                <w:szCs w:val="12"/>
                <w:color w:val="auto"/>
              </w:rPr>
            </w:pPr>
          </w:p>
        </w:tc>
        <w:tc>
          <w:tcPr>
            <w:tcW w:w="1160" w:type="dxa"/>
            <w:vAlign w:val="bottom"/>
            <w:tcBorders>
              <w:right w:val="single" w:sz="8" w:color="123054"/>
            </w:tcBorders>
            <w:shd w:val="clear" w:color="auto" w:fill="123054"/>
          </w:tcPr>
          <w:p>
            <w:pPr>
              <w:jc w:val="right"/>
              <w:ind w:right="448"/>
              <w:spacing w:after="0" w:line="139" w:lineRule="exact"/>
              <w:rPr>
                <w:sz w:val="20"/>
                <w:szCs w:val="20"/>
                <w:color w:val="auto"/>
              </w:rPr>
            </w:pPr>
            <w:r>
              <w:rPr>
                <w:rFonts w:ascii="Arial" w:cs="Arial" w:eastAsia="Arial" w:hAnsi="Arial"/>
                <w:sz w:val="14"/>
                <w:szCs w:val="14"/>
                <w:b w:val="1"/>
                <w:bCs w:val="1"/>
                <w:color w:val="FBFBFB"/>
              </w:rPr>
              <w:t>(#)</w:t>
            </w:r>
          </w:p>
        </w:tc>
        <w:tc>
          <w:tcPr>
            <w:tcW w:w="1080" w:type="dxa"/>
            <w:vAlign w:val="bottom"/>
            <w:tcBorders>
              <w:right w:val="single" w:sz="8" w:color="123054"/>
            </w:tcBorders>
            <w:shd w:val="clear" w:color="auto" w:fill="123054"/>
          </w:tcPr>
          <w:p>
            <w:pPr>
              <w:ind w:left="440"/>
              <w:spacing w:after="0" w:line="139" w:lineRule="exact"/>
              <w:rPr>
                <w:sz w:val="20"/>
                <w:szCs w:val="20"/>
                <w:color w:val="auto"/>
              </w:rPr>
            </w:pPr>
            <w:r>
              <w:rPr>
                <w:rFonts w:ascii="Arial" w:cs="Arial" w:eastAsia="Arial" w:hAnsi="Arial"/>
                <w:sz w:val="14"/>
                <w:szCs w:val="14"/>
                <w:b w:val="1"/>
                <w:bCs w:val="1"/>
                <w:color w:val="FBFBFB"/>
              </w:rPr>
              <w:t>(#)</w:t>
            </w:r>
          </w:p>
        </w:tc>
        <w:tc>
          <w:tcPr>
            <w:tcW w:w="60" w:type="dxa"/>
            <w:vAlign w:val="bottom"/>
            <w:shd w:val="clear" w:color="auto" w:fill="123054"/>
          </w:tcPr>
          <w:p>
            <w:pPr>
              <w:spacing w:after="0"/>
              <w:rPr>
                <w:sz w:val="12"/>
                <w:szCs w:val="12"/>
                <w:color w:val="auto"/>
              </w:rPr>
            </w:pPr>
          </w:p>
        </w:tc>
        <w:tc>
          <w:tcPr>
            <w:tcW w:w="960" w:type="dxa"/>
            <w:vAlign w:val="bottom"/>
            <w:shd w:val="clear" w:color="auto" w:fill="123054"/>
          </w:tcPr>
          <w:p>
            <w:pPr>
              <w:jc w:val="center"/>
              <w:ind w:left="108"/>
              <w:spacing w:after="0" w:line="139" w:lineRule="exact"/>
              <w:rPr>
                <w:sz w:val="20"/>
                <w:szCs w:val="20"/>
                <w:color w:val="auto"/>
              </w:rPr>
            </w:pPr>
            <w:r>
              <w:rPr>
                <w:rFonts w:ascii="Arial" w:cs="Arial" w:eastAsia="Arial" w:hAnsi="Arial"/>
                <w:sz w:val="14"/>
                <w:szCs w:val="14"/>
                <w:b w:val="1"/>
                <w:bCs w:val="1"/>
                <w:color w:val="FBFBFB"/>
              </w:rPr>
              <w:t>Options</w:t>
            </w:r>
          </w:p>
        </w:tc>
        <w:tc>
          <w:tcPr>
            <w:tcW w:w="220" w:type="dxa"/>
            <w:vAlign w:val="bottom"/>
            <w:tcBorders>
              <w:right w:val="single" w:sz="8" w:color="123054"/>
            </w:tcBorders>
            <w:shd w:val="clear" w:color="auto" w:fill="123054"/>
          </w:tcPr>
          <w:p>
            <w:pPr>
              <w:spacing w:after="0"/>
              <w:rPr>
                <w:sz w:val="12"/>
                <w:szCs w:val="12"/>
                <w:color w:val="auto"/>
              </w:rPr>
            </w:pPr>
          </w:p>
        </w:tc>
        <w:tc>
          <w:tcPr>
            <w:tcW w:w="120" w:type="dxa"/>
            <w:vAlign w:val="bottom"/>
            <w:shd w:val="clear" w:color="auto" w:fill="123054"/>
          </w:tcPr>
          <w:p>
            <w:pPr>
              <w:spacing w:after="0"/>
              <w:rPr>
                <w:sz w:val="12"/>
                <w:szCs w:val="12"/>
                <w:color w:val="auto"/>
              </w:rPr>
            </w:pPr>
          </w:p>
        </w:tc>
        <w:tc>
          <w:tcPr>
            <w:tcW w:w="620" w:type="dxa"/>
            <w:vAlign w:val="bottom"/>
            <w:tcBorders>
              <w:right w:val="single" w:sz="8" w:color="123054"/>
            </w:tcBorders>
            <w:shd w:val="clear" w:color="auto" w:fill="123054"/>
          </w:tcPr>
          <w:p>
            <w:pPr>
              <w:jc w:val="center"/>
              <w:ind w:right="68"/>
              <w:spacing w:after="0" w:line="139" w:lineRule="exact"/>
              <w:rPr>
                <w:sz w:val="20"/>
                <w:szCs w:val="20"/>
                <w:color w:val="auto"/>
              </w:rPr>
            </w:pPr>
            <w:r>
              <w:rPr>
                <w:rFonts w:ascii="Arial" w:cs="Arial" w:eastAsia="Arial" w:hAnsi="Arial"/>
                <w:sz w:val="14"/>
                <w:szCs w:val="14"/>
                <w:b w:val="1"/>
                <w:bCs w:val="1"/>
                <w:color w:val="FBFBFB"/>
              </w:rPr>
              <w:t>Price</w:t>
            </w:r>
          </w:p>
        </w:tc>
        <w:tc>
          <w:tcPr>
            <w:tcW w:w="760" w:type="dxa"/>
            <w:vAlign w:val="bottom"/>
            <w:tcBorders>
              <w:right w:val="single" w:sz="8" w:color="123054"/>
            </w:tcBorders>
            <w:shd w:val="clear" w:color="auto" w:fill="123054"/>
          </w:tcPr>
          <w:p>
            <w:pPr>
              <w:jc w:val="center"/>
              <w:spacing w:after="0" w:line="139" w:lineRule="exact"/>
              <w:rPr>
                <w:sz w:val="20"/>
                <w:szCs w:val="20"/>
                <w:color w:val="auto"/>
              </w:rPr>
            </w:pPr>
            <w:r>
              <w:rPr>
                <w:rFonts w:ascii="Arial" w:cs="Arial" w:eastAsia="Arial" w:hAnsi="Arial"/>
                <w:sz w:val="14"/>
                <w:szCs w:val="14"/>
                <w:b w:val="1"/>
                <w:bCs w:val="1"/>
                <w:color w:val="FBFBFB"/>
              </w:rPr>
              <w:t>Expiration</w:t>
            </w:r>
          </w:p>
        </w:tc>
        <w:tc>
          <w:tcPr>
            <w:tcW w:w="1140" w:type="dxa"/>
            <w:vAlign w:val="bottom"/>
            <w:gridSpan w:val="2"/>
            <w:shd w:val="clear" w:color="auto" w:fill="123054"/>
          </w:tcPr>
          <w:p>
            <w:pPr>
              <w:jc w:val="center"/>
              <w:spacing w:after="0" w:line="139" w:lineRule="exact"/>
              <w:rPr>
                <w:sz w:val="20"/>
                <w:szCs w:val="20"/>
                <w:color w:val="auto"/>
              </w:rPr>
            </w:pPr>
            <w:r>
              <w:rPr>
                <w:rFonts w:ascii="Arial" w:cs="Arial" w:eastAsia="Arial" w:hAnsi="Arial"/>
                <w:sz w:val="14"/>
                <w:szCs w:val="14"/>
                <w:b w:val="1"/>
                <w:bCs w:val="1"/>
                <w:color w:val="FBFBFB"/>
              </w:rPr>
              <w:t>Not Vested</w:t>
            </w:r>
          </w:p>
        </w:tc>
        <w:tc>
          <w:tcPr>
            <w:tcW w:w="100" w:type="dxa"/>
            <w:vAlign w:val="bottom"/>
            <w:shd w:val="clear" w:color="auto" w:fill="123054"/>
          </w:tcPr>
          <w:p>
            <w:pPr>
              <w:spacing w:after="0"/>
              <w:rPr>
                <w:sz w:val="12"/>
                <w:szCs w:val="12"/>
                <w:color w:val="auto"/>
              </w:rPr>
            </w:pPr>
          </w:p>
        </w:tc>
        <w:tc>
          <w:tcPr>
            <w:tcW w:w="1220" w:type="dxa"/>
            <w:vAlign w:val="bottom"/>
            <w:shd w:val="clear" w:color="auto" w:fill="123054"/>
          </w:tcPr>
          <w:p>
            <w:pPr>
              <w:jc w:val="center"/>
              <w:ind w:right="8"/>
              <w:spacing w:after="0" w:line="139" w:lineRule="exact"/>
              <w:rPr>
                <w:sz w:val="20"/>
                <w:szCs w:val="20"/>
                <w:color w:val="auto"/>
              </w:rPr>
            </w:pPr>
            <w:r>
              <w:rPr>
                <w:rFonts w:ascii="Arial" w:cs="Arial" w:eastAsia="Arial" w:hAnsi="Arial"/>
                <w:sz w:val="14"/>
                <w:szCs w:val="14"/>
                <w:b w:val="1"/>
                <w:bCs w:val="1"/>
                <w:color w:val="FBFBFB"/>
              </w:rPr>
              <w:t>Not Vested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80" w:type="dxa"/>
            <w:vAlign w:val="bottom"/>
            <w:tcBorders>
              <w:right w:val="single" w:sz="8" w:color="123054"/>
            </w:tcBorders>
            <w:vMerge w:val="continue"/>
            <w:shd w:val="clear" w:color="auto" w:fill="123054"/>
          </w:tcPr>
          <w:p>
            <w:pPr>
              <w:spacing w:after="0"/>
              <w:rPr>
                <w:sz w:val="18"/>
                <w:szCs w:val="18"/>
                <w:color w:val="auto"/>
              </w:rPr>
            </w:pPr>
          </w:p>
        </w:tc>
        <w:tc>
          <w:tcPr>
            <w:tcW w:w="40" w:type="dxa"/>
            <w:vAlign w:val="bottom"/>
            <w:shd w:val="clear" w:color="auto" w:fill="123054"/>
          </w:tcPr>
          <w:p>
            <w:pPr>
              <w:spacing w:after="0"/>
              <w:rPr>
                <w:sz w:val="18"/>
                <w:szCs w:val="18"/>
                <w:color w:val="auto"/>
              </w:rPr>
            </w:pPr>
          </w:p>
        </w:tc>
        <w:tc>
          <w:tcPr>
            <w:tcW w:w="11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4"/>
                <w:szCs w:val="14"/>
                <w:b w:val="1"/>
                <w:bCs w:val="1"/>
                <w:color w:val="FBFBFB"/>
              </w:rPr>
              <w:t>(Exercisable)</w:t>
            </w:r>
          </w:p>
        </w:tc>
        <w:tc>
          <w:tcPr>
            <w:tcW w:w="1140" w:type="dxa"/>
            <w:vAlign w:val="bottom"/>
            <w:gridSpan w:val="2"/>
            <w:shd w:val="clear" w:color="auto" w:fill="123054"/>
          </w:tcPr>
          <w:p>
            <w:pPr>
              <w:jc w:val="center"/>
              <w:ind w:right="20"/>
              <w:spacing w:after="0"/>
              <w:rPr>
                <w:sz w:val="20"/>
                <w:szCs w:val="20"/>
                <w:color w:val="auto"/>
              </w:rPr>
            </w:pPr>
            <w:r>
              <w:rPr>
                <w:rFonts w:ascii="Arial" w:cs="Arial" w:eastAsia="Arial" w:hAnsi="Arial"/>
                <w:sz w:val="14"/>
                <w:szCs w:val="14"/>
                <w:b w:val="1"/>
                <w:bCs w:val="1"/>
                <w:color w:val="FBFBFB"/>
              </w:rPr>
              <w:t>(Unexercisable)</w:t>
            </w:r>
          </w:p>
        </w:tc>
        <w:tc>
          <w:tcPr>
            <w:tcW w:w="960" w:type="dxa"/>
            <w:vAlign w:val="bottom"/>
            <w:shd w:val="clear" w:color="auto" w:fill="123054"/>
          </w:tcPr>
          <w:p>
            <w:pPr>
              <w:jc w:val="right"/>
              <w:ind w:right="248"/>
              <w:spacing w:after="0"/>
              <w:rPr>
                <w:sz w:val="20"/>
                <w:szCs w:val="20"/>
                <w:color w:val="auto"/>
              </w:rPr>
            </w:pPr>
            <w:r>
              <w:rPr>
                <w:rFonts w:ascii="Arial" w:cs="Arial" w:eastAsia="Arial" w:hAnsi="Arial"/>
                <w:sz w:val="14"/>
                <w:szCs w:val="14"/>
                <w:b w:val="1"/>
                <w:bCs w:val="1"/>
                <w:color w:val="FBFBFB"/>
              </w:rPr>
              <w:t>(#)</w:t>
            </w:r>
          </w:p>
        </w:tc>
        <w:tc>
          <w:tcPr>
            <w:tcW w:w="220" w:type="dxa"/>
            <w:vAlign w:val="bottom"/>
            <w:tcBorders>
              <w:right w:val="single" w:sz="8" w:color="123054"/>
            </w:tcBorders>
            <w:shd w:val="clear" w:color="auto" w:fill="123054"/>
          </w:tcPr>
          <w:p>
            <w:pPr>
              <w:spacing w:after="0"/>
              <w:rPr>
                <w:sz w:val="18"/>
                <w:szCs w:val="18"/>
                <w:color w:val="auto"/>
              </w:rPr>
            </w:pPr>
          </w:p>
        </w:tc>
        <w:tc>
          <w:tcPr>
            <w:tcW w:w="120" w:type="dxa"/>
            <w:vAlign w:val="bottom"/>
            <w:shd w:val="clear" w:color="auto" w:fill="123054"/>
          </w:tcPr>
          <w:p>
            <w:pPr>
              <w:spacing w:after="0"/>
              <w:rPr>
                <w:sz w:val="18"/>
                <w:szCs w:val="18"/>
                <w:color w:val="auto"/>
              </w:rPr>
            </w:pPr>
          </w:p>
        </w:tc>
        <w:tc>
          <w:tcPr>
            <w:tcW w:w="620" w:type="dxa"/>
            <w:vAlign w:val="bottom"/>
            <w:tcBorders>
              <w:right w:val="single" w:sz="8" w:color="123054"/>
            </w:tcBorders>
            <w:shd w:val="clear" w:color="auto" w:fill="123054"/>
          </w:tcPr>
          <w:p>
            <w:pPr>
              <w:jc w:val="right"/>
              <w:ind w:right="228"/>
              <w:spacing w:after="0"/>
              <w:rPr>
                <w:sz w:val="20"/>
                <w:szCs w:val="20"/>
                <w:color w:val="auto"/>
              </w:rPr>
            </w:pPr>
            <w:r>
              <w:rPr>
                <w:rFonts w:ascii="Arial" w:cs="Arial" w:eastAsia="Arial" w:hAnsi="Arial"/>
                <w:sz w:val="14"/>
                <w:szCs w:val="14"/>
                <w:b w:val="1"/>
                <w:bCs w:val="1"/>
                <w:color w:val="FBFBFB"/>
              </w:rPr>
              <w:t>($)</w:t>
            </w:r>
          </w:p>
        </w:tc>
        <w:tc>
          <w:tcPr>
            <w:tcW w:w="7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4"/>
                <w:szCs w:val="14"/>
                <w:b w:val="1"/>
                <w:bCs w:val="1"/>
                <w:color w:val="FBFBFB"/>
              </w:rPr>
              <w:t>Date</w:t>
            </w:r>
          </w:p>
        </w:tc>
        <w:tc>
          <w:tcPr>
            <w:tcW w:w="1140" w:type="dxa"/>
            <w:vAlign w:val="bottom"/>
            <w:gridSpan w:val="2"/>
            <w:shd w:val="clear" w:color="auto" w:fill="123054"/>
          </w:tcPr>
          <w:p>
            <w:pPr>
              <w:ind w:left="340"/>
              <w:spacing w:after="0"/>
              <w:rPr>
                <w:sz w:val="20"/>
                <w:szCs w:val="20"/>
                <w:color w:val="auto"/>
              </w:rPr>
            </w:pPr>
            <w:r>
              <w:rPr>
                <w:rFonts w:ascii="Arial" w:cs="Arial" w:eastAsia="Arial" w:hAnsi="Arial"/>
                <w:sz w:val="14"/>
                <w:szCs w:val="14"/>
                <w:b w:val="1"/>
                <w:bCs w:val="1"/>
                <w:color w:val="FBFBFB"/>
              </w:rPr>
              <w:t>(#) (a)</w:t>
            </w:r>
          </w:p>
        </w:tc>
        <w:tc>
          <w:tcPr>
            <w:tcW w:w="100" w:type="dxa"/>
            <w:vAlign w:val="bottom"/>
            <w:shd w:val="clear" w:color="auto" w:fill="123054"/>
          </w:tcPr>
          <w:p>
            <w:pPr>
              <w:spacing w:after="0"/>
              <w:rPr>
                <w:sz w:val="18"/>
                <w:szCs w:val="18"/>
                <w:color w:val="auto"/>
              </w:rPr>
            </w:pPr>
          </w:p>
        </w:tc>
        <w:tc>
          <w:tcPr>
            <w:tcW w:w="1220" w:type="dxa"/>
            <w:vAlign w:val="bottom"/>
            <w:shd w:val="clear" w:color="auto" w:fill="123054"/>
          </w:tcPr>
          <w:p>
            <w:pPr>
              <w:jc w:val="center"/>
              <w:ind w:right="68"/>
              <w:spacing w:after="0"/>
              <w:rPr>
                <w:sz w:val="20"/>
                <w:szCs w:val="20"/>
                <w:color w:val="auto"/>
              </w:rPr>
            </w:pPr>
            <w:r>
              <w:rPr>
                <w:rFonts w:ascii="Arial" w:cs="Arial" w:eastAsia="Arial" w:hAnsi="Arial"/>
                <w:sz w:val="14"/>
                <w:szCs w:val="14"/>
                <w:b w:val="1"/>
                <w:bCs w:val="1"/>
                <w:color w:val="FBFBFB"/>
              </w:rPr>
              <w:t>($) (b)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Richard F.</w:t>
            </w:r>
          </w:p>
        </w:tc>
        <w:tc>
          <w:tcPr>
            <w:tcW w:w="40" w:type="dxa"/>
            <w:vAlign w:val="bottom"/>
          </w:tcPr>
          <w:p>
            <w:pPr>
              <w:spacing w:after="0"/>
              <w:rPr>
                <w:sz w:val="15"/>
                <w:szCs w:val="15"/>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5,048</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2/21/2028</w:t>
            </w:r>
          </w:p>
        </w:tc>
        <w:tc>
          <w:tcPr>
            <w:tcW w:w="1120" w:type="dxa"/>
            <w:vAlign w:val="bottom"/>
            <w:tcBorders>
              <w:right w:val="single" w:sz="8" w:color="123054"/>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Westenberger</w:t>
            </w:r>
          </w:p>
        </w:tc>
        <w:tc>
          <w:tcPr>
            <w:tcW w:w="40" w:type="dxa"/>
            <w:vAlign w:val="bottom"/>
          </w:tcPr>
          <w:p>
            <w:pPr>
              <w:spacing w:after="0"/>
              <w:rPr>
                <w:sz w:val="16"/>
                <w:szCs w:val="16"/>
                <w:color w:val="auto"/>
              </w:rPr>
            </w:pPr>
          </w:p>
        </w:tc>
        <w:tc>
          <w:tcPr>
            <w:tcW w:w="1160" w:type="dxa"/>
            <w:vAlign w:val="bottom"/>
            <w:tcBorders>
              <w:right w:val="single" w:sz="8" w:color="123054"/>
            </w:tcBorders>
          </w:tcPr>
          <w:p>
            <w:pPr>
              <w:spacing w:after="0"/>
              <w:rPr>
                <w:sz w:val="16"/>
                <w:szCs w:val="16"/>
                <w:color w:val="auto"/>
              </w:rPr>
            </w:pPr>
          </w:p>
        </w:tc>
        <w:tc>
          <w:tcPr>
            <w:tcW w:w="1080" w:type="dxa"/>
            <w:vAlign w:val="bottom"/>
            <w:tcBorders>
              <w:right w:val="single" w:sz="8" w:color="123054"/>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123054"/>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123054"/>
            </w:tcBorders>
          </w:tcPr>
          <w:p>
            <w:pPr>
              <w:spacing w:after="0"/>
              <w:rPr>
                <w:sz w:val="16"/>
                <w:szCs w:val="16"/>
                <w:color w:val="auto"/>
              </w:rPr>
            </w:pPr>
          </w:p>
        </w:tc>
        <w:tc>
          <w:tcPr>
            <w:tcW w:w="760" w:type="dxa"/>
            <w:vAlign w:val="bottom"/>
            <w:tcBorders>
              <w:right w:val="single" w:sz="8" w:color="123054"/>
            </w:tcBorders>
          </w:tcPr>
          <w:p>
            <w:pPr>
              <w:spacing w:after="0"/>
              <w:rPr>
                <w:sz w:val="16"/>
                <w:szCs w:val="16"/>
                <w:color w:val="auto"/>
              </w:rPr>
            </w:pPr>
          </w:p>
        </w:tc>
        <w:tc>
          <w:tcPr>
            <w:tcW w:w="1120" w:type="dxa"/>
            <w:vAlign w:val="bottom"/>
            <w:tcBorders>
              <w:right w:val="single" w:sz="8" w:color="123054"/>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right w:val="single" w:sz="8" w:color="123054"/>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7,000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2/14/2027</w:t>
            </w:r>
          </w:p>
        </w:tc>
        <w:tc>
          <w:tcPr>
            <w:tcW w:w="1120" w:type="dxa"/>
            <w:vAlign w:val="bottom"/>
            <w:tcBorders>
              <w:right w:val="single" w:sz="8" w:color="123054"/>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5,220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90.66</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2/16/2026</w:t>
            </w:r>
          </w:p>
        </w:tc>
        <w:tc>
          <w:tcPr>
            <w:tcW w:w="1120" w:type="dxa"/>
            <w:vAlign w:val="bottom"/>
            <w:tcBorders>
              <w:right w:val="single" w:sz="8" w:color="123054"/>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3,400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82.40</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2/18/2025</w:t>
            </w:r>
          </w:p>
        </w:tc>
        <w:tc>
          <w:tcPr>
            <w:tcW w:w="1120" w:type="dxa"/>
            <w:vAlign w:val="bottom"/>
            <w:tcBorders>
              <w:right w:val="single" w:sz="8" w:color="123054"/>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spacing w:after="0"/>
              <w:rPr>
                <w:sz w:val="19"/>
                <w:szCs w:val="19"/>
                <w:color w:val="auto"/>
              </w:rPr>
            </w:pPr>
          </w:p>
        </w:tc>
        <w:tc>
          <w:tcPr>
            <w:tcW w:w="1080" w:type="dxa"/>
            <w:vAlign w:val="bottom"/>
            <w:tcBorders>
              <w:right w:val="single" w:sz="8" w:color="123054"/>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right w:val="single" w:sz="8" w:color="123054"/>
            </w:tcBorders>
          </w:tcPr>
          <w:p>
            <w:pPr>
              <w:spacing w:after="0"/>
              <w:rPr>
                <w:sz w:val="19"/>
                <w:szCs w:val="19"/>
                <w:color w:val="auto"/>
              </w:rPr>
            </w:pPr>
          </w:p>
        </w:tc>
        <w:tc>
          <w:tcPr>
            <w:tcW w:w="760" w:type="dxa"/>
            <w:vAlign w:val="bottom"/>
            <w:tcBorders>
              <w:right w:val="single" w:sz="8" w:color="123054"/>
            </w:tcBorders>
          </w:tcPr>
          <w:p>
            <w:pPr>
              <w:spacing w:after="0"/>
              <w:rPr>
                <w:sz w:val="19"/>
                <w:szCs w:val="19"/>
                <w:color w:val="auto"/>
              </w:rPr>
            </w:pPr>
          </w:p>
        </w:tc>
        <w:tc>
          <w:tcPr>
            <w:tcW w:w="11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49,718</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w w:val="99"/>
              </w:rPr>
              <w:t>2,706,151</w:t>
            </w:r>
          </w:p>
        </w:tc>
        <w:tc>
          <w:tcPr>
            <w:tcW w:w="0" w:type="dxa"/>
            <w:vAlign w:val="bottom"/>
          </w:tcPr>
          <w:p>
            <w:pPr>
              <w:spacing w:after="0"/>
              <w:rPr>
                <w:sz w:val="1"/>
                <w:szCs w:val="1"/>
                <w:color w:val="auto"/>
              </w:rPr>
            </w:pPr>
          </w:p>
        </w:tc>
      </w:tr>
      <w:tr>
        <w:trPr>
          <w:trHeight w:val="22"/>
        </w:trPr>
        <w:tc>
          <w:tcPr>
            <w:tcW w:w="980" w:type="dxa"/>
            <w:vAlign w:val="bottom"/>
            <w:tcBorders>
              <w:right w:val="single" w:sz="8" w:color="1230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right w:val="single" w:sz="8" w:color="123054"/>
            </w:tcBorders>
          </w:tcPr>
          <w:p>
            <w:pPr>
              <w:spacing w:after="0" w:line="20" w:lineRule="exact"/>
              <w:rPr>
                <w:sz w:val="1"/>
                <w:szCs w:val="1"/>
                <w:color w:val="auto"/>
              </w:rPr>
            </w:pPr>
          </w:p>
        </w:tc>
        <w:tc>
          <w:tcPr>
            <w:tcW w:w="1080" w:type="dxa"/>
            <w:vAlign w:val="bottom"/>
            <w:tcBorders>
              <w:right w:val="single" w:sz="8" w:color="12305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right w:val="single" w:sz="8" w:color="12305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123054"/>
            </w:tcBorders>
          </w:tcPr>
          <w:p>
            <w:pPr>
              <w:spacing w:after="0" w:line="20" w:lineRule="exact"/>
              <w:rPr>
                <w:sz w:val="1"/>
                <w:szCs w:val="1"/>
                <w:color w:val="auto"/>
              </w:rPr>
            </w:pPr>
          </w:p>
        </w:tc>
        <w:tc>
          <w:tcPr>
            <w:tcW w:w="760" w:type="dxa"/>
            <w:vAlign w:val="bottom"/>
            <w:tcBorders>
              <w:right w:val="single" w:sz="8" w:color="123054"/>
            </w:tcBorders>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Kendra D.</w:t>
            </w:r>
          </w:p>
        </w:tc>
        <w:tc>
          <w:tcPr>
            <w:tcW w:w="40" w:type="dxa"/>
            <w:vAlign w:val="bottom"/>
            <w:shd w:val="clear" w:color="auto" w:fill="DBDBDB"/>
          </w:tcPr>
          <w:p>
            <w:pPr>
              <w:spacing w:after="0"/>
              <w:rPr>
                <w:sz w:val="16"/>
                <w:szCs w:val="16"/>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1,508</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2/21/2028</w:t>
            </w:r>
          </w:p>
        </w:tc>
        <w:tc>
          <w:tcPr>
            <w:tcW w:w="1120" w:type="dxa"/>
            <w:vAlign w:val="bottom"/>
            <w:tcBorders>
              <w:right w:val="single" w:sz="8" w:color="123054"/>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Krugman</w:t>
            </w:r>
          </w:p>
        </w:tc>
        <w:tc>
          <w:tcPr>
            <w:tcW w:w="40" w:type="dxa"/>
            <w:vAlign w:val="bottom"/>
            <w:shd w:val="clear" w:color="auto" w:fill="DBDBDB"/>
          </w:tcPr>
          <w:p>
            <w:pPr>
              <w:spacing w:after="0"/>
              <w:rPr>
                <w:sz w:val="16"/>
                <w:szCs w:val="16"/>
                <w:color w:val="auto"/>
              </w:rPr>
            </w:pPr>
          </w:p>
        </w:tc>
        <w:tc>
          <w:tcPr>
            <w:tcW w:w="1160" w:type="dxa"/>
            <w:vAlign w:val="bottom"/>
            <w:tcBorders>
              <w:right w:val="single" w:sz="8" w:color="123054"/>
            </w:tcBorders>
            <w:shd w:val="clear" w:color="auto" w:fill="DBDBDB"/>
          </w:tcPr>
          <w:p>
            <w:pPr>
              <w:spacing w:after="0"/>
              <w:rPr>
                <w:sz w:val="16"/>
                <w:szCs w:val="16"/>
                <w:color w:val="auto"/>
              </w:rPr>
            </w:pPr>
          </w:p>
        </w:tc>
        <w:tc>
          <w:tcPr>
            <w:tcW w:w="1080" w:type="dxa"/>
            <w:vAlign w:val="bottom"/>
            <w:tcBorders>
              <w:right w:val="single" w:sz="8" w:color="123054"/>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tcBorders>
              <w:right w:val="single" w:sz="8" w:color="123054"/>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20" w:type="dxa"/>
            <w:vAlign w:val="bottom"/>
            <w:tcBorders>
              <w:right w:val="single" w:sz="8" w:color="123054"/>
            </w:tcBorders>
            <w:shd w:val="clear" w:color="auto" w:fill="DBDBDB"/>
          </w:tcPr>
          <w:p>
            <w:pPr>
              <w:spacing w:after="0"/>
              <w:rPr>
                <w:sz w:val="16"/>
                <w:szCs w:val="16"/>
                <w:color w:val="auto"/>
              </w:rPr>
            </w:pPr>
          </w:p>
        </w:tc>
        <w:tc>
          <w:tcPr>
            <w:tcW w:w="760" w:type="dxa"/>
            <w:vAlign w:val="bottom"/>
            <w:tcBorders>
              <w:right w:val="single" w:sz="8" w:color="123054"/>
            </w:tcBorders>
            <w:shd w:val="clear" w:color="auto" w:fill="DBDBDB"/>
          </w:tcPr>
          <w:p>
            <w:pPr>
              <w:spacing w:after="0"/>
              <w:rPr>
                <w:sz w:val="16"/>
                <w:szCs w:val="16"/>
                <w:color w:val="auto"/>
              </w:rPr>
            </w:pPr>
          </w:p>
        </w:tc>
        <w:tc>
          <w:tcPr>
            <w:tcW w:w="1120" w:type="dxa"/>
            <w:vAlign w:val="bottom"/>
            <w:tcBorders>
              <w:right w:val="single" w:sz="8" w:color="123054"/>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right w:val="single" w:sz="8" w:color="123054"/>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1,508</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2/21/2028</w:t>
            </w:r>
          </w:p>
        </w:tc>
        <w:tc>
          <w:tcPr>
            <w:tcW w:w="1120" w:type="dxa"/>
            <w:vAlign w:val="bottom"/>
            <w:tcBorders>
              <w:right w:val="single" w:sz="8" w:color="123054"/>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2,068</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2/14/2027</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1,404</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2/14/2027</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2,260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98.98</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8/17/2026</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960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90.66</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2/16/2026</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960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90.66</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2/16/2026</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Borders>
              <w:right w:val="single" w:sz="8" w:color="123054"/>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2,360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86.88</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11/11/202</w:t>
            </w:r>
          </w:p>
        </w:tc>
        <w:tc>
          <w:tcPr>
            <w:tcW w:w="1120" w:type="dxa"/>
            <w:vAlign w:val="bottom"/>
            <w:tcBorders>
              <w:right w:val="single" w:sz="8" w:color="123054"/>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123054"/>
            </w:tcBorders>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160" w:type="dxa"/>
            <w:vAlign w:val="bottom"/>
            <w:tcBorders>
              <w:right w:val="single" w:sz="8" w:color="123054"/>
            </w:tcBorders>
            <w:shd w:val="clear" w:color="auto" w:fill="DBDBDB"/>
          </w:tcPr>
          <w:p>
            <w:pPr>
              <w:spacing w:after="0"/>
              <w:rPr>
                <w:sz w:val="16"/>
                <w:szCs w:val="16"/>
                <w:color w:val="auto"/>
              </w:rPr>
            </w:pPr>
          </w:p>
        </w:tc>
        <w:tc>
          <w:tcPr>
            <w:tcW w:w="1080" w:type="dxa"/>
            <w:vAlign w:val="bottom"/>
            <w:tcBorders>
              <w:right w:val="single" w:sz="8" w:color="123054"/>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tcBorders>
              <w:right w:val="single" w:sz="8" w:color="123054"/>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20" w:type="dxa"/>
            <w:vAlign w:val="bottom"/>
            <w:tcBorders>
              <w:right w:val="single" w:sz="8" w:color="123054"/>
            </w:tcBorders>
            <w:shd w:val="clear" w:color="auto" w:fill="DBDBDB"/>
          </w:tcPr>
          <w:p>
            <w:pPr>
              <w:spacing w:after="0"/>
              <w:rPr>
                <w:sz w:val="16"/>
                <w:szCs w:val="16"/>
                <w:color w:val="auto"/>
              </w:rPr>
            </w:pPr>
          </w:p>
        </w:tc>
        <w:tc>
          <w:tcPr>
            <w:tcW w:w="760" w:type="dxa"/>
            <w:vAlign w:val="bottom"/>
            <w:tcBorders>
              <w:right w:val="single" w:sz="8" w:color="123054"/>
            </w:tcBorders>
            <w:shd w:val="clear" w:color="auto" w:fill="DBDBDB"/>
          </w:tcPr>
          <w:p>
            <w:pPr>
              <w:ind w:left="320"/>
              <w:spacing w:after="0"/>
              <w:rPr>
                <w:sz w:val="20"/>
                <w:szCs w:val="20"/>
                <w:color w:val="auto"/>
              </w:rPr>
            </w:pPr>
            <w:r>
              <w:rPr>
                <w:rFonts w:ascii="Arial" w:cs="Arial" w:eastAsia="Arial" w:hAnsi="Arial"/>
                <w:sz w:val="14"/>
                <w:szCs w:val="14"/>
                <w:color w:val="auto"/>
              </w:rPr>
              <w:t>5</w:t>
            </w:r>
          </w:p>
        </w:tc>
        <w:tc>
          <w:tcPr>
            <w:tcW w:w="1120" w:type="dxa"/>
            <w:vAlign w:val="bottom"/>
            <w:tcBorders>
              <w:right w:val="single" w:sz="8" w:color="123054"/>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right w:val="single" w:sz="8" w:color="123054"/>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1,200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82.40</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2/18/2025</w:t>
            </w:r>
          </w:p>
        </w:tc>
        <w:tc>
          <w:tcPr>
            <w:tcW w:w="1120" w:type="dxa"/>
            <w:vAlign w:val="bottom"/>
            <w:tcBorders>
              <w:right w:val="single" w:sz="8" w:color="123054"/>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400</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82.40</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2/18/2025</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80" w:type="dxa"/>
            <w:vAlign w:val="bottom"/>
            <w:tcBorders>
              <w:bottom w:val="single" w:sz="8" w:color="DBDBDB"/>
              <w:right w:val="single" w:sz="8" w:color="123054"/>
            </w:tcBorders>
            <w:shd w:val="clear" w:color="auto" w:fill="DBDBDB"/>
          </w:tcPr>
          <w:p>
            <w:pPr>
              <w:spacing w:after="0"/>
              <w:rPr>
                <w:sz w:val="20"/>
                <w:szCs w:val="20"/>
                <w:color w:val="auto"/>
              </w:rPr>
            </w:pPr>
          </w:p>
        </w:tc>
        <w:tc>
          <w:tcPr>
            <w:tcW w:w="40" w:type="dxa"/>
            <w:vAlign w:val="bottom"/>
            <w:tcBorders>
              <w:bottom w:val="single" w:sz="8" w:color="DBDBDB"/>
            </w:tcBorders>
            <w:shd w:val="clear" w:color="auto" w:fill="DBDBDB"/>
          </w:tcPr>
          <w:p>
            <w:pPr>
              <w:spacing w:after="0"/>
              <w:rPr>
                <w:sz w:val="20"/>
                <w:szCs w:val="20"/>
                <w:color w:val="auto"/>
              </w:rPr>
            </w:pPr>
          </w:p>
        </w:tc>
        <w:tc>
          <w:tcPr>
            <w:tcW w:w="1160" w:type="dxa"/>
            <w:vAlign w:val="bottom"/>
            <w:tcBorders>
              <w:bottom w:val="single" w:sz="8" w:color="DBDBDB"/>
              <w:right w:val="single" w:sz="8" w:color="123054"/>
            </w:tcBorders>
            <w:shd w:val="clear" w:color="auto" w:fill="DBDBDB"/>
          </w:tcPr>
          <w:p>
            <w:pPr>
              <w:spacing w:after="0"/>
              <w:rPr>
                <w:sz w:val="20"/>
                <w:szCs w:val="20"/>
                <w:color w:val="auto"/>
              </w:rPr>
            </w:pPr>
          </w:p>
        </w:tc>
        <w:tc>
          <w:tcPr>
            <w:tcW w:w="1080" w:type="dxa"/>
            <w:vAlign w:val="bottom"/>
            <w:tcBorders>
              <w:bottom w:val="single" w:sz="8" w:color="DBDBDB"/>
              <w:right w:val="single" w:sz="8" w:color="123054"/>
            </w:tcBorders>
            <w:shd w:val="clear" w:color="auto" w:fill="DBDBDB"/>
          </w:tcPr>
          <w:p>
            <w:pPr>
              <w:spacing w:after="0"/>
              <w:rPr>
                <w:sz w:val="20"/>
                <w:szCs w:val="20"/>
                <w:color w:val="auto"/>
              </w:rPr>
            </w:pPr>
          </w:p>
        </w:tc>
        <w:tc>
          <w:tcPr>
            <w:tcW w:w="60" w:type="dxa"/>
            <w:vAlign w:val="bottom"/>
            <w:tcBorders>
              <w:bottom w:val="single" w:sz="8" w:color="DBDBDB"/>
            </w:tcBorders>
            <w:shd w:val="clear" w:color="auto" w:fill="DBDBDB"/>
          </w:tcPr>
          <w:p>
            <w:pPr>
              <w:spacing w:after="0"/>
              <w:rPr>
                <w:sz w:val="20"/>
                <w:szCs w:val="20"/>
                <w:color w:val="auto"/>
              </w:rPr>
            </w:pPr>
          </w:p>
        </w:tc>
        <w:tc>
          <w:tcPr>
            <w:tcW w:w="9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right w:val="single" w:sz="8" w:color="123054"/>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620" w:type="dxa"/>
            <w:vAlign w:val="bottom"/>
            <w:tcBorders>
              <w:bottom w:val="single" w:sz="8" w:color="DBDBDB"/>
              <w:right w:val="single" w:sz="8" w:color="123054"/>
            </w:tcBorders>
            <w:shd w:val="clear" w:color="auto" w:fill="DBDBDB"/>
          </w:tcPr>
          <w:p>
            <w:pPr>
              <w:spacing w:after="0"/>
              <w:rPr>
                <w:sz w:val="20"/>
                <w:szCs w:val="20"/>
                <w:color w:val="auto"/>
              </w:rPr>
            </w:pPr>
          </w:p>
        </w:tc>
        <w:tc>
          <w:tcPr>
            <w:tcW w:w="760" w:type="dxa"/>
            <w:vAlign w:val="bottom"/>
            <w:tcBorders>
              <w:bottom w:val="single" w:sz="8" w:color="DBDBDB"/>
              <w:right w:val="single" w:sz="8" w:color="123054"/>
            </w:tcBorders>
            <w:shd w:val="clear" w:color="auto" w:fill="DBDBDB"/>
          </w:tcPr>
          <w:p>
            <w:pPr>
              <w:spacing w:after="0"/>
              <w:rPr>
                <w:sz w:val="20"/>
                <w:szCs w:val="20"/>
                <w:color w:val="auto"/>
              </w:rPr>
            </w:pPr>
          </w:p>
        </w:tc>
        <w:tc>
          <w:tcPr>
            <w:tcW w:w="1120" w:type="dxa"/>
            <w:vAlign w:val="bottom"/>
            <w:tcBorders>
              <w:bottom w:val="single" w:sz="8" w:color="DBDBDB"/>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51,488</w:t>
            </w: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w w:val="96"/>
              </w:rPr>
              <w:t>2,802,492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Allison M.</w:t>
            </w:r>
          </w:p>
        </w:tc>
        <w:tc>
          <w:tcPr>
            <w:tcW w:w="40" w:type="dxa"/>
            <w:vAlign w:val="bottom"/>
          </w:tcPr>
          <w:p>
            <w:pPr>
              <w:spacing w:after="0"/>
              <w:rPr>
                <w:sz w:val="16"/>
                <w:szCs w:val="16"/>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123054"/>
            </w:tcBorders>
          </w:tcPr>
          <w:p>
            <w:pPr>
              <w:ind w:left="3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123054"/>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Peterson</w:t>
            </w:r>
          </w:p>
        </w:tc>
        <w:tc>
          <w:tcPr>
            <w:tcW w:w="40" w:type="dxa"/>
            <w:vAlign w:val="bottom"/>
          </w:tcPr>
          <w:p>
            <w:pPr>
              <w:spacing w:after="0"/>
              <w:rPr>
                <w:sz w:val="16"/>
                <w:szCs w:val="16"/>
                <w:color w:val="auto"/>
              </w:rPr>
            </w:pPr>
          </w:p>
        </w:tc>
        <w:tc>
          <w:tcPr>
            <w:tcW w:w="1160" w:type="dxa"/>
            <w:vAlign w:val="bottom"/>
            <w:tcBorders>
              <w:right w:val="single" w:sz="8" w:color="123054"/>
            </w:tcBorders>
          </w:tcPr>
          <w:p>
            <w:pPr>
              <w:spacing w:after="0"/>
              <w:rPr>
                <w:sz w:val="16"/>
                <w:szCs w:val="16"/>
                <w:color w:val="auto"/>
              </w:rPr>
            </w:pPr>
          </w:p>
        </w:tc>
        <w:tc>
          <w:tcPr>
            <w:tcW w:w="1080" w:type="dxa"/>
            <w:vAlign w:val="bottom"/>
            <w:tcBorders>
              <w:right w:val="single" w:sz="8" w:color="123054"/>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123054"/>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123054"/>
            </w:tcBorders>
          </w:tcPr>
          <w:p>
            <w:pPr>
              <w:spacing w:after="0"/>
              <w:rPr>
                <w:sz w:val="16"/>
                <w:szCs w:val="16"/>
                <w:color w:val="auto"/>
              </w:rPr>
            </w:pPr>
          </w:p>
        </w:tc>
        <w:tc>
          <w:tcPr>
            <w:tcW w:w="760" w:type="dxa"/>
            <w:vAlign w:val="bottom"/>
            <w:tcBorders>
              <w:right w:val="single" w:sz="8" w:color="123054"/>
            </w:tcBorders>
          </w:tcPr>
          <w:p>
            <w:pPr>
              <w:spacing w:after="0"/>
              <w:rPr>
                <w:sz w:val="16"/>
                <w:szCs w:val="16"/>
                <w:color w:val="auto"/>
              </w:rPr>
            </w:pPr>
          </w:p>
        </w:tc>
        <w:tc>
          <w:tcPr>
            <w:tcW w:w="1120" w:type="dxa"/>
            <w:vAlign w:val="bottom"/>
            <w:tcBorders>
              <w:right w:val="single" w:sz="8" w:color="123054"/>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right w:val="single" w:sz="8" w:color="123054"/>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123054"/>
            </w:tcBorders>
          </w:tcPr>
          <w:p>
            <w:pPr>
              <w:spacing w:after="0"/>
              <w:rPr>
                <w:sz w:val="18"/>
                <w:szCs w:val="18"/>
                <w:color w:val="auto"/>
              </w:rPr>
            </w:pPr>
          </w:p>
        </w:tc>
        <w:tc>
          <w:tcPr>
            <w:tcW w:w="1080" w:type="dxa"/>
            <w:vAlign w:val="bottom"/>
            <w:tcBorders>
              <w:right w:val="single" w:sz="8" w:color="123054"/>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right w:val="single" w:sz="8" w:color="123054"/>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123054"/>
            </w:tcBorders>
          </w:tcPr>
          <w:p>
            <w:pPr>
              <w:spacing w:after="0"/>
              <w:rPr>
                <w:sz w:val="18"/>
                <w:szCs w:val="18"/>
                <w:color w:val="auto"/>
              </w:rPr>
            </w:pPr>
          </w:p>
        </w:tc>
        <w:tc>
          <w:tcPr>
            <w:tcW w:w="760" w:type="dxa"/>
            <w:vAlign w:val="bottom"/>
            <w:tcBorders>
              <w:right w:val="single" w:sz="8" w:color="123054"/>
            </w:tcBorders>
          </w:tcPr>
          <w:p>
            <w:pPr>
              <w:spacing w:after="0"/>
              <w:rPr>
                <w:sz w:val="18"/>
                <w:szCs w:val="18"/>
                <w:color w:val="auto"/>
              </w:rPr>
            </w:pPr>
          </w:p>
        </w:tc>
        <w:tc>
          <w:tcPr>
            <w:tcW w:w="11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39,920</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w w:val="99"/>
              </w:rPr>
              <w:t>2,172,846</w:t>
            </w:r>
          </w:p>
        </w:tc>
        <w:tc>
          <w:tcPr>
            <w:tcW w:w="0" w:type="dxa"/>
            <w:vAlign w:val="bottom"/>
          </w:tcPr>
          <w:p>
            <w:pPr>
              <w:spacing w:after="0"/>
              <w:rPr>
                <w:sz w:val="1"/>
                <w:szCs w:val="1"/>
                <w:color w:val="auto"/>
              </w:rPr>
            </w:pPr>
          </w:p>
        </w:tc>
      </w:tr>
      <w:tr>
        <w:trPr>
          <w:trHeight w:val="22"/>
        </w:trPr>
        <w:tc>
          <w:tcPr>
            <w:tcW w:w="980" w:type="dxa"/>
            <w:vAlign w:val="bottom"/>
            <w:tcBorders>
              <w:right w:val="single" w:sz="8" w:color="1230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right w:val="single" w:sz="8" w:color="123054"/>
            </w:tcBorders>
          </w:tcPr>
          <w:p>
            <w:pPr>
              <w:spacing w:after="0" w:line="20" w:lineRule="exact"/>
              <w:rPr>
                <w:sz w:val="1"/>
                <w:szCs w:val="1"/>
                <w:color w:val="auto"/>
              </w:rPr>
            </w:pPr>
          </w:p>
        </w:tc>
        <w:tc>
          <w:tcPr>
            <w:tcW w:w="1080" w:type="dxa"/>
            <w:vAlign w:val="bottom"/>
            <w:tcBorders>
              <w:right w:val="single" w:sz="8" w:color="12305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right w:val="single" w:sz="8" w:color="12305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123054"/>
            </w:tcBorders>
          </w:tcPr>
          <w:p>
            <w:pPr>
              <w:spacing w:after="0" w:line="20" w:lineRule="exact"/>
              <w:rPr>
                <w:sz w:val="1"/>
                <w:szCs w:val="1"/>
                <w:color w:val="auto"/>
              </w:rPr>
            </w:pPr>
          </w:p>
        </w:tc>
        <w:tc>
          <w:tcPr>
            <w:tcW w:w="760" w:type="dxa"/>
            <w:vAlign w:val="bottom"/>
            <w:tcBorders>
              <w:right w:val="single" w:sz="8" w:color="123054"/>
            </w:tcBorders>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w w:val="96"/>
              </w:rPr>
              <w:t>Raghu R. Sagi</w:t>
            </w: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123054"/>
            </w:tcBorders>
            <w:shd w:val="clear" w:color="auto" w:fill="DBDBDB"/>
          </w:tcPr>
          <w:p>
            <w:pPr>
              <w:ind w:left="3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0" w:type="dxa"/>
            <w:vAlign w:val="bottom"/>
            <w:tcBorders>
              <w:bottom w:val="single" w:sz="8" w:color="DBDBDB"/>
              <w:right w:val="single" w:sz="8" w:color="123054"/>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right w:val="single" w:sz="8" w:color="123054"/>
            </w:tcBorders>
            <w:shd w:val="clear" w:color="auto" w:fill="DBDBDB"/>
          </w:tcPr>
          <w:p>
            <w:pPr>
              <w:spacing w:after="0"/>
              <w:rPr>
                <w:sz w:val="18"/>
                <w:szCs w:val="18"/>
                <w:color w:val="auto"/>
              </w:rPr>
            </w:pPr>
          </w:p>
        </w:tc>
        <w:tc>
          <w:tcPr>
            <w:tcW w:w="1080" w:type="dxa"/>
            <w:vAlign w:val="bottom"/>
            <w:tcBorders>
              <w:bottom w:val="single" w:sz="8" w:color="DBDBDB"/>
              <w:right w:val="single" w:sz="8" w:color="123054"/>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right w:val="single" w:sz="8" w:color="123054"/>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right w:val="single" w:sz="8" w:color="123054"/>
            </w:tcBorders>
            <w:shd w:val="clear" w:color="auto" w:fill="DBDBDB"/>
          </w:tcPr>
          <w:p>
            <w:pPr>
              <w:spacing w:after="0"/>
              <w:rPr>
                <w:sz w:val="18"/>
                <w:szCs w:val="18"/>
                <w:color w:val="auto"/>
              </w:rPr>
            </w:pPr>
          </w:p>
        </w:tc>
        <w:tc>
          <w:tcPr>
            <w:tcW w:w="760" w:type="dxa"/>
            <w:vAlign w:val="bottom"/>
            <w:tcBorders>
              <w:bottom w:val="single" w:sz="8" w:color="DBDBDB"/>
              <w:right w:val="single" w:sz="8" w:color="123054"/>
            </w:tcBorders>
            <w:shd w:val="clear" w:color="auto" w:fill="DBDBDB"/>
          </w:tcPr>
          <w:p>
            <w:pPr>
              <w:spacing w:after="0"/>
              <w:rPr>
                <w:sz w:val="18"/>
                <w:szCs w:val="18"/>
                <w:color w:val="auto"/>
              </w:rPr>
            </w:pPr>
          </w:p>
        </w:tc>
        <w:tc>
          <w:tcPr>
            <w:tcW w:w="1120" w:type="dxa"/>
            <w:vAlign w:val="bottom"/>
            <w:tcBorders>
              <w:bottom w:val="single" w:sz="8" w:color="DBDBDB"/>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14,484</w:t>
            </w: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4"/>
                <w:szCs w:val="14"/>
                <w:color w:val="auto"/>
                <w:w w:val="98"/>
              </w:rPr>
              <w:t>788,364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Michael D.</w:t>
            </w:r>
          </w:p>
        </w:tc>
        <w:tc>
          <w:tcPr>
            <w:tcW w:w="40" w:type="dxa"/>
            <w:vAlign w:val="bottom"/>
          </w:tcPr>
          <w:p>
            <w:pPr>
              <w:spacing w:after="0"/>
              <w:rPr>
                <w:sz w:val="16"/>
                <w:szCs w:val="16"/>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49,268</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2/21/2028</w:t>
            </w:r>
          </w:p>
        </w:tc>
        <w:tc>
          <w:tcPr>
            <w:tcW w:w="1120" w:type="dxa"/>
            <w:vAlign w:val="bottom"/>
            <w:tcBorders>
              <w:right w:val="single" w:sz="8" w:color="123054"/>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Casey</w:t>
            </w:r>
          </w:p>
        </w:tc>
        <w:tc>
          <w:tcPr>
            <w:tcW w:w="40" w:type="dxa"/>
            <w:vAlign w:val="bottom"/>
          </w:tcPr>
          <w:p>
            <w:pPr>
              <w:spacing w:after="0"/>
              <w:rPr>
                <w:sz w:val="16"/>
                <w:szCs w:val="16"/>
                <w:color w:val="auto"/>
              </w:rPr>
            </w:pPr>
          </w:p>
        </w:tc>
        <w:tc>
          <w:tcPr>
            <w:tcW w:w="1160" w:type="dxa"/>
            <w:vAlign w:val="bottom"/>
            <w:tcBorders>
              <w:right w:val="single" w:sz="8" w:color="123054"/>
            </w:tcBorders>
          </w:tcPr>
          <w:p>
            <w:pPr>
              <w:spacing w:after="0"/>
              <w:rPr>
                <w:sz w:val="16"/>
                <w:szCs w:val="16"/>
                <w:color w:val="auto"/>
              </w:rPr>
            </w:pPr>
          </w:p>
        </w:tc>
        <w:tc>
          <w:tcPr>
            <w:tcW w:w="1080" w:type="dxa"/>
            <w:vAlign w:val="bottom"/>
            <w:tcBorders>
              <w:right w:val="single" w:sz="8" w:color="123054"/>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123054"/>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123054"/>
            </w:tcBorders>
          </w:tcPr>
          <w:p>
            <w:pPr>
              <w:spacing w:after="0"/>
              <w:rPr>
                <w:sz w:val="16"/>
                <w:szCs w:val="16"/>
                <w:color w:val="auto"/>
              </w:rPr>
            </w:pPr>
          </w:p>
        </w:tc>
        <w:tc>
          <w:tcPr>
            <w:tcW w:w="760" w:type="dxa"/>
            <w:vAlign w:val="bottom"/>
            <w:tcBorders>
              <w:right w:val="single" w:sz="8" w:color="123054"/>
            </w:tcBorders>
          </w:tcPr>
          <w:p>
            <w:pPr>
              <w:spacing w:after="0"/>
              <w:rPr>
                <w:sz w:val="16"/>
                <w:szCs w:val="16"/>
                <w:color w:val="auto"/>
              </w:rPr>
            </w:pPr>
          </w:p>
        </w:tc>
        <w:tc>
          <w:tcPr>
            <w:tcW w:w="1120" w:type="dxa"/>
            <w:vAlign w:val="bottom"/>
            <w:tcBorders>
              <w:right w:val="single" w:sz="8" w:color="123054"/>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right w:val="single" w:sz="8" w:color="123054"/>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69,000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2/14/2027</w:t>
            </w:r>
          </w:p>
        </w:tc>
        <w:tc>
          <w:tcPr>
            <w:tcW w:w="1120" w:type="dxa"/>
            <w:vAlign w:val="bottom"/>
            <w:tcBorders>
              <w:right w:val="single" w:sz="8" w:color="123054"/>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44,500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90.66</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2/16/2026</w:t>
            </w:r>
          </w:p>
        </w:tc>
        <w:tc>
          <w:tcPr>
            <w:tcW w:w="1120" w:type="dxa"/>
            <w:vAlign w:val="bottom"/>
            <w:tcBorders>
              <w:right w:val="single" w:sz="8" w:color="123054"/>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28,000</w:t>
            </w:r>
          </w:p>
        </w:tc>
        <w:tc>
          <w:tcPr>
            <w:tcW w:w="1080" w:type="dxa"/>
            <w:vAlign w:val="bottom"/>
            <w:tcBorders>
              <w:right w:val="single" w:sz="8" w:color="123054"/>
            </w:tcBorders>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82.40</w:t>
            </w:r>
          </w:p>
        </w:tc>
        <w:tc>
          <w:tcPr>
            <w:tcW w:w="760" w:type="dxa"/>
            <w:vAlign w:val="bottom"/>
            <w:tcBorders>
              <w:right w:val="single" w:sz="8" w:color="123054"/>
            </w:tcBorders>
          </w:tcPr>
          <w:p>
            <w:pPr>
              <w:ind w:left="60"/>
              <w:spacing w:after="0"/>
              <w:rPr>
                <w:sz w:val="20"/>
                <w:szCs w:val="20"/>
                <w:color w:val="auto"/>
              </w:rPr>
            </w:pPr>
            <w:r>
              <w:rPr>
                <w:rFonts w:ascii="Arial" w:cs="Arial" w:eastAsia="Arial" w:hAnsi="Arial"/>
                <w:sz w:val="14"/>
                <w:szCs w:val="14"/>
                <w:color w:val="auto"/>
              </w:rPr>
              <w:t>2/18/2025</w:t>
            </w:r>
          </w:p>
        </w:tc>
        <w:tc>
          <w:tcPr>
            <w:tcW w:w="1120" w:type="dxa"/>
            <w:vAlign w:val="bottom"/>
            <w:tcBorders>
              <w:right w:val="single" w:sz="8" w:color="123054"/>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123054"/>
            </w:tcBorders>
          </w:tcPr>
          <w:p>
            <w:pPr>
              <w:spacing w:after="0"/>
              <w:rPr>
                <w:sz w:val="19"/>
                <w:szCs w:val="19"/>
                <w:color w:val="auto"/>
              </w:rPr>
            </w:pPr>
          </w:p>
        </w:tc>
        <w:tc>
          <w:tcPr>
            <w:tcW w:w="1080" w:type="dxa"/>
            <w:vAlign w:val="bottom"/>
            <w:tcBorders>
              <w:right w:val="single" w:sz="8" w:color="123054"/>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right w:val="single" w:sz="8" w:color="123054"/>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right w:val="single" w:sz="8" w:color="123054"/>
            </w:tcBorders>
          </w:tcPr>
          <w:p>
            <w:pPr>
              <w:spacing w:after="0"/>
              <w:rPr>
                <w:sz w:val="19"/>
                <w:szCs w:val="19"/>
                <w:color w:val="auto"/>
              </w:rPr>
            </w:pPr>
          </w:p>
        </w:tc>
        <w:tc>
          <w:tcPr>
            <w:tcW w:w="760" w:type="dxa"/>
            <w:vAlign w:val="bottom"/>
            <w:tcBorders>
              <w:right w:val="single" w:sz="8" w:color="123054"/>
            </w:tcBorders>
          </w:tcPr>
          <w:p>
            <w:pPr>
              <w:spacing w:after="0"/>
              <w:rPr>
                <w:sz w:val="19"/>
                <w:szCs w:val="19"/>
                <w:color w:val="auto"/>
              </w:rPr>
            </w:pPr>
          </w:p>
        </w:tc>
        <w:tc>
          <w:tcPr>
            <w:tcW w:w="1120" w:type="dxa"/>
            <w:vAlign w:val="bottom"/>
            <w:tcBorders>
              <w:right w:val="single" w:sz="8" w:color="123054"/>
            </w:tcBorders>
          </w:tcPr>
          <w:p>
            <w:pPr>
              <w:jc w:val="right"/>
              <w:spacing w:after="0"/>
              <w:rPr>
                <w:sz w:val="20"/>
                <w:szCs w:val="20"/>
                <w:color w:val="auto"/>
              </w:rPr>
            </w:pPr>
            <w:r>
              <w:rPr>
                <w:rFonts w:ascii="Arial" w:cs="Arial" w:eastAsia="Arial" w:hAnsi="Arial"/>
                <w:sz w:val="14"/>
                <w:szCs w:val="14"/>
                <w:color w:val="auto"/>
              </w:rPr>
              <w:t>226,193</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520"/>
              <w:spacing w:after="0"/>
              <w:rPr>
                <w:sz w:val="20"/>
                <w:szCs w:val="20"/>
                <w:color w:val="auto"/>
              </w:rPr>
            </w:pPr>
            <w:r>
              <w:rPr>
                <w:rFonts w:ascii="Arial" w:cs="Arial" w:eastAsia="Arial" w:hAnsi="Arial"/>
                <w:sz w:val="14"/>
                <w:szCs w:val="14"/>
                <w:color w:val="auto"/>
                <w:w w:val="99"/>
              </w:rPr>
              <w:t>12,311,685</w:t>
            </w:r>
          </w:p>
        </w:tc>
        <w:tc>
          <w:tcPr>
            <w:tcW w:w="0" w:type="dxa"/>
            <w:vAlign w:val="bottom"/>
          </w:tcPr>
          <w:p>
            <w:pPr>
              <w:spacing w:after="0"/>
              <w:rPr>
                <w:sz w:val="1"/>
                <w:szCs w:val="1"/>
                <w:color w:val="auto"/>
              </w:rPr>
            </w:pPr>
          </w:p>
        </w:tc>
      </w:tr>
      <w:tr>
        <w:trPr>
          <w:trHeight w:val="22"/>
        </w:trPr>
        <w:tc>
          <w:tcPr>
            <w:tcW w:w="980" w:type="dxa"/>
            <w:vAlign w:val="bottom"/>
            <w:tcBorders>
              <w:right w:val="single" w:sz="8" w:color="1230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right w:val="single" w:sz="8" w:color="123054"/>
            </w:tcBorders>
          </w:tcPr>
          <w:p>
            <w:pPr>
              <w:spacing w:after="0" w:line="20" w:lineRule="exact"/>
              <w:rPr>
                <w:sz w:val="1"/>
                <w:szCs w:val="1"/>
                <w:color w:val="auto"/>
              </w:rPr>
            </w:pPr>
          </w:p>
        </w:tc>
        <w:tc>
          <w:tcPr>
            <w:tcW w:w="1080" w:type="dxa"/>
            <w:vAlign w:val="bottom"/>
            <w:tcBorders>
              <w:right w:val="single" w:sz="8" w:color="12305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right w:val="single" w:sz="8" w:color="12305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123054"/>
            </w:tcBorders>
          </w:tcPr>
          <w:p>
            <w:pPr>
              <w:spacing w:after="0" w:line="20" w:lineRule="exact"/>
              <w:rPr>
                <w:sz w:val="1"/>
                <w:szCs w:val="1"/>
                <w:color w:val="auto"/>
              </w:rPr>
            </w:pPr>
          </w:p>
        </w:tc>
        <w:tc>
          <w:tcPr>
            <w:tcW w:w="760" w:type="dxa"/>
            <w:vAlign w:val="bottom"/>
            <w:tcBorders>
              <w:right w:val="single" w:sz="8" w:color="123054"/>
            </w:tcBorders>
          </w:tcPr>
          <w:p>
            <w:pPr>
              <w:spacing w:after="0" w:line="20" w:lineRule="exact"/>
              <w:rPr>
                <w:sz w:val="1"/>
                <w:szCs w:val="1"/>
                <w:color w:val="auto"/>
              </w:rPr>
            </w:pPr>
          </w:p>
        </w:tc>
        <w:tc>
          <w:tcPr>
            <w:tcW w:w="1120" w:type="dxa"/>
            <w:vAlign w:val="bottom"/>
            <w:tcBorders>
              <w:right w:val="single" w:sz="8" w:color="1230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w w:val="99"/>
              </w:rPr>
              <w:t>Brian J. Lynch</w:t>
            </w:r>
          </w:p>
        </w:tc>
        <w:tc>
          <w:tcPr>
            <w:tcW w:w="40" w:type="dxa"/>
            <w:vAlign w:val="bottom"/>
            <w:shd w:val="clear" w:color="auto" w:fill="DBDBDB"/>
          </w:tcPr>
          <w:p>
            <w:pPr>
              <w:spacing w:after="0"/>
              <w:rPr>
                <w:sz w:val="18"/>
                <w:szCs w:val="18"/>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8"/>
                <w:szCs w:val="18"/>
                <w:color w:val="auto"/>
              </w:rPr>
            </w:pP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shd w:val="clear" w:color="auto" w:fill="DBDBDB"/>
          </w:tcPr>
          <w:p>
            <w:pPr>
              <w:ind w:left="80"/>
              <w:spacing w:after="0"/>
              <w:rPr>
                <w:sz w:val="20"/>
                <w:szCs w:val="20"/>
                <w:color w:val="auto"/>
              </w:rPr>
            </w:pPr>
            <w:r>
              <w:rPr>
                <w:rFonts w:ascii="Arial" w:cs="Arial" w:eastAsia="Arial" w:hAnsi="Arial"/>
                <w:sz w:val="14"/>
                <w:szCs w:val="14"/>
                <w:color w:val="auto"/>
              </w:rPr>
              <w:t>2/21/2028</w:t>
            </w:r>
          </w:p>
        </w:tc>
        <w:tc>
          <w:tcPr>
            <w:tcW w:w="1120" w:type="dxa"/>
            <w:vAlign w:val="bottom"/>
            <w:tcBorders>
              <w:right w:val="single" w:sz="8" w:color="123054"/>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120.25</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2/14/2027</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Borders>
              <w:right w:val="single" w:sz="8" w:color="123054"/>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2/16/2026</w:t>
            </w:r>
          </w:p>
        </w:tc>
        <w:tc>
          <w:tcPr>
            <w:tcW w:w="1120" w:type="dxa"/>
            <w:vAlign w:val="bottom"/>
            <w:tcBorders>
              <w:right w:val="single" w:sz="8" w:color="123054"/>
            </w:tcBorders>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80" w:type="dxa"/>
            <w:vAlign w:val="bottom"/>
            <w:tcBorders>
              <w:right w:val="single" w:sz="8" w:color="123054"/>
            </w:tcBorders>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16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123054"/>
            </w:tcBorders>
            <w:shd w:val="clear" w:color="auto" w:fill="DBDBDB"/>
          </w:tcPr>
          <w:p>
            <w:pPr>
              <w:ind w:left="9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83.84</w:t>
            </w:r>
          </w:p>
        </w:tc>
        <w:tc>
          <w:tcPr>
            <w:tcW w:w="760" w:type="dxa"/>
            <w:vAlign w:val="bottom"/>
            <w:tcBorders>
              <w:right w:val="single" w:sz="8" w:color="123054"/>
            </w:tcBorders>
            <w:shd w:val="clear" w:color="auto" w:fill="DBDBDB"/>
          </w:tcPr>
          <w:p>
            <w:pPr>
              <w:ind w:left="60"/>
              <w:spacing w:after="0"/>
              <w:rPr>
                <w:sz w:val="20"/>
                <w:szCs w:val="20"/>
                <w:color w:val="auto"/>
              </w:rPr>
            </w:pPr>
            <w:r>
              <w:rPr>
                <w:rFonts w:ascii="Arial" w:cs="Arial" w:eastAsia="Arial" w:hAnsi="Arial"/>
                <w:sz w:val="14"/>
                <w:szCs w:val="14"/>
                <w:color w:val="auto"/>
              </w:rPr>
              <w:t>2/18/2025</w:t>
            </w:r>
          </w:p>
        </w:tc>
        <w:tc>
          <w:tcPr>
            <w:tcW w:w="1120" w:type="dxa"/>
            <w:vAlign w:val="bottom"/>
            <w:tcBorders>
              <w:right w:val="single" w:sz="8" w:color="123054"/>
            </w:tcBorders>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123054"/>
              <w:right w:val="single" w:sz="8" w:color="123054"/>
            </w:tcBorders>
            <w:shd w:val="clear" w:color="auto" w:fill="DBDBDB"/>
          </w:tcPr>
          <w:p>
            <w:pPr>
              <w:spacing w:after="0"/>
              <w:rPr>
                <w:sz w:val="20"/>
                <w:szCs w:val="20"/>
                <w:color w:val="auto"/>
              </w:rPr>
            </w:pPr>
          </w:p>
        </w:tc>
        <w:tc>
          <w:tcPr>
            <w:tcW w:w="40" w:type="dxa"/>
            <w:vAlign w:val="bottom"/>
            <w:tcBorders>
              <w:bottom w:val="single" w:sz="8" w:color="123054"/>
            </w:tcBorders>
            <w:shd w:val="clear" w:color="auto" w:fill="DBDBDB"/>
          </w:tcPr>
          <w:p>
            <w:pPr>
              <w:spacing w:after="0"/>
              <w:rPr>
                <w:sz w:val="20"/>
                <w:szCs w:val="20"/>
                <w:color w:val="auto"/>
              </w:rPr>
            </w:pPr>
          </w:p>
        </w:tc>
        <w:tc>
          <w:tcPr>
            <w:tcW w:w="1160" w:type="dxa"/>
            <w:vAlign w:val="bottom"/>
            <w:tcBorders>
              <w:bottom w:val="single" w:sz="8" w:color="123054"/>
              <w:right w:val="single" w:sz="8" w:color="123054"/>
            </w:tcBorders>
            <w:shd w:val="clear" w:color="auto" w:fill="DBDBDB"/>
          </w:tcPr>
          <w:p>
            <w:pPr>
              <w:spacing w:after="0"/>
              <w:rPr>
                <w:sz w:val="20"/>
                <w:szCs w:val="20"/>
                <w:color w:val="auto"/>
              </w:rPr>
            </w:pPr>
          </w:p>
        </w:tc>
        <w:tc>
          <w:tcPr>
            <w:tcW w:w="1080" w:type="dxa"/>
            <w:vAlign w:val="bottom"/>
            <w:tcBorders>
              <w:bottom w:val="single" w:sz="8" w:color="123054"/>
              <w:right w:val="single" w:sz="8" w:color="123054"/>
            </w:tcBorders>
            <w:shd w:val="clear" w:color="auto" w:fill="DBDBDB"/>
          </w:tcPr>
          <w:p>
            <w:pPr>
              <w:spacing w:after="0"/>
              <w:rPr>
                <w:sz w:val="20"/>
                <w:szCs w:val="20"/>
                <w:color w:val="auto"/>
              </w:rPr>
            </w:pPr>
          </w:p>
        </w:tc>
        <w:tc>
          <w:tcPr>
            <w:tcW w:w="60" w:type="dxa"/>
            <w:vAlign w:val="bottom"/>
            <w:tcBorders>
              <w:bottom w:val="single" w:sz="8" w:color="123054"/>
            </w:tcBorders>
            <w:shd w:val="clear" w:color="auto" w:fill="DBDBDB"/>
          </w:tcPr>
          <w:p>
            <w:pPr>
              <w:spacing w:after="0"/>
              <w:rPr>
                <w:sz w:val="20"/>
                <w:szCs w:val="20"/>
                <w:color w:val="auto"/>
              </w:rPr>
            </w:pPr>
          </w:p>
        </w:tc>
        <w:tc>
          <w:tcPr>
            <w:tcW w:w="960" w:type="dxa"/>
            <w:vAlign w:val="bottom"/>
            <w:tcBorders>
              <w:bottom w:val="single" w:sz="8" w:color="123054"/>
            </w:tcBorders>
            <w:shd w:val="clear" w:color="auto" w:fill="DBDBDB"/>
          </w:tcPr>
          <w:p>
            <w:pPr>
              <w:spacing w:after="0"/>
              <w:rPr>
                <w:sz w:val="20"/>
                <w:szCs w:val="20"/>
                <w:color w:val="auto"/>
              </w:rPr>
            </w:pPr>
          </w:p>
        </w:tc>
        <w:tc>
          <w:tcPr>
            <w:tcW w:w="220" w:type="dxa"/>
            <w:vAlign w:val="bottom"/>
            <w:tcBorders>
              <w:bottom w:val="single" w:sz="8" w:color="123054"/>
              <w:right w:val="single" w:sz="8" w:color="123054"/>
            </w:tcBorders>
            <w:shd w:val="clear" w:color="auto" w:fill="DBDBDB"/>
          </w:tcPr>
          <w:p>
            <w:pPr>
              <w:spacing w:after="0"/>
              <w:rPr>
                <w:sz w:val="20"/>
                <w:szCs w:val="20"/>
                <w:color w:val="auto"/>
              </w:rPr>
            </w:pPr>
          </w:p>
        </w:tc>
        <w:tc>
          <w:tcPr>
            <w:tcW w:w="120" w:type="dxa"/>
            <w:vAlign w:val="bottom"/>
            <w:tcBorders>
              <w:bottom w:val="single" w:sz="8" w:color="123054"/>
            </w:tcBorders>
            <w:shd w:val="clear" w:color="auto" w:fill="DBDBDB"/>
          </w:tcPr>
          <w:p>
            <w:pPr>
              <w:spacing w:after="0"/>
              <w:rPr>
                <w:sz w:val="20"/>
                <w:szCs w:val="20"/>
                <w:color w:val="auto"/>
              </w:rPr>
            </w:pPr>
          </w:p>
        </w:tc>
        <w:tc>
          <w:tcPr>
            <w:tcW w:w="620" w:type="dxa"/>
            <w:vAlign w:val="bottom"/>
            <w:tcBorders>
              <w:bottom w:val="single" w:sz="8" w:color="123054"/>
              <w:right w:val="single" w:sz="8" w:color="123054"/>
            </w:tcBorders>
            <w:shd w:val="clear" w:color="auto" w:fill="DBDBDB"/>
          </w:tcPr>
          <w:p>
            <w:pPr>
              <w:spacing w:after="0"/>
              <w:rPr>
                <w:sz w:val="20"/>
                <w:szCs w:val="20"/>
                <w:color w:val="auto"/>
              </w:rPr>
            </w:pPr>
          </w:p>
        </w:tc>
        <w:tc>
          <w:tcPr>
            <w:tcW w:w="760" w:type="dxa"/>
            <w:vAlign w:val="bottom"/>
            <w:tcBorders>
              <w:bottom w:val="single" w:sz="8" w:color="123054"/>
              <w:right w:val="single" w:sz="8" w:color="123054"/>
            </w:tcBorders>
            <w:shd w:val="clear" w:color="auto" w:fill="DBDBDB"/>
          </w:tcPr>
          <w:p>
            <w:pPr>
              <w:spacing w:after="0"/>
              <w:rPr>
                <w:sz w:val="20"/>
                <w:szCs w:val="20"/>
                <w:color w:val="auto"/>
              </w:rPr>
            </w:pPr>
          </w:p>
        </w:tc>
        <w:tc>
          <w:tcPr>
            <w:tcW w:w="1120" w:type="dxa"/>
            <w:vAlign w:val="bottom"/>
            <w:tcBorders>
              <w:bottom w:val="single" w:sz="8" w:color="123054"/>
              <w:right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rPr>
              <w:t>27,856</w:t>
            </w:r>
          </w:p>
        </w:tc>
        <w:tc>
          <w:tcPr>
            <w:tcW w:w="20" w:type="dxa"/>
            <w:vAlign w:val="bottom"/>
            <w:tcBorders>
              <w:bottom w:val="single" w:sz="8" w:color="123054"/>
            </w:tcBorders>
            <w:shd w:val="clear" w:color="auto" w:fill="DBDBDB"/>
          </w:tcPr>
          <w:p>
            <w:pPr>
              <w:spacing w:after="0"/>
              <w:rPr>
                <w:sz w:val="20"/>
                <w:szCs w:val="20"/>
                <w:color w:val="auto"/>
              </w:rPr>
            </w:pPr>
          </w:p>
        </w:tc>
        <w:tc>
          <w:tcPr>
            <w:tcW w:w="100" w:type="dxa"/>
            <w:vAlign w:val="bottom"/>
            <w:tcBorders>
              <w:bottom w:val="single" w:sz="8" w:color="123054"/>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123054"/>
            </w:tcBorders>
            <w:shd w:val="clear" w:color="auto" w:fill="DBDBDB"/>
          </w:tcPr>
          <w:p>
            <w:pPr>
              <w:ind w:left="600"/>
              <w:spacing w:after="0"/>
              <w:rPr>
                <w:sz w:val="20"/>
                <w:szCs w:val="20"/>
                <w:color w:val="auto"/>
              </w:rPr>
            </w:pPr>
            <w:r>
              <w:rPr>
                <w:rFonts w:ascii="Arial" w:cs="Arial" w:eastAsia="Arial" w:hAnsi="Arial"/>
                <w:sz w:val="14"/>
                <w:szCs w:val="14"/>
                <w:color w:val="auto"/>
                <w:w w:val="96"/>
              </w:rPr>
              <w:t>1,516,202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[See next page for footnotes to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082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208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8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Equity Incentive Plan awards relate to the following grants:</w:t>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BFBFB"/>
              </w:rPr>
              <w:t>Time-Based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BFBFB"/>
              </w:rPr>
              <w:t>Time-Based</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FBFBFB"/>
              </w:rPr>
              <w:t>Performance-</w:t>
            </w: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FBFBFB"/>
              </w:rPr>
              <w:t>Market-</w:t>
            </w:r>
          </w:p>
        </w:tc>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FBFBFB"/>
              </w:rPr>
              <w:t>Grant</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FBFBFB"/>
              </w:rPr>
              <w:t>Grant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FBFBFB"/>
              </w:rPr>
              <w:t>Restricted</w:t>
            </w:r>
          </w:p>
        </w:tc>
        <w:tc>
          <w:tcPr>
            <w:tcW w:w="12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FBFBFB"/>
              </w:rPr>
              <w:t>Restricted</w:t>
            </w:r>
          </w:p>
        </w:tc>
        <w:tc>
          <w:tcPr>
            <w:tcW w:w="126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FBFBFB"/>
              </w:rPr>
              <w:t>Based</w:t>
            </w:r>
          </w:p>
        </w:tc>
        <w:tc>
          <w:tcPr>
            <w:tcW w:w="14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FBFBFB"/>
              </w:rPr>
              <w:t>Based</w:t>
            </w:r>
          </w:p>
        </w:tc>
        <w:tc>
          <w:tcPr>
            <w:tcW w:w="9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FBFBFB"/>
              </w:rPr>
              <w:t>Date Fair</w:t>
            </w:r>
          </w:p>
        </w:tc>
        <w:tc>
          <w:tcPr>
            <w:tcW w:w="0" w:type="dxa"/>
            <w:vAlign w:val="bottom"/>
          </w:tcPr>
          <w:p>
            <w:pPr>
              <w:spacing w:after="0"/>
              <w:rPr>
                <w:sz w:val="1"/>
                <w:szCs w:val="1"/>
                <w:color w:val="auto"/>
              </w:rPr>
            </w:pPr>
          </w:p>
        </w:tc>
      </w:tr>
      <w:tr>
        <w:trPr>
          <w:trHeight w:val="139"/>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FBFBFB"/>
              </w:rPr>
              <w:t>Name</w:t>
            </w:r>
          </w:p>
        </w:tc>
        <w:tc>
          <w:tcPr>
            <w:tcW w:w="860" w:type="dxa"/>
            <w:vAlign w:val="bottom"/>
            <w:vMerge w:val="continue"/>
          </w:tcPr>
          <w:p>
            <w:pPr>
              <w:spacing w:after="0"/>
              <w:rPr>
                <w:sz w:val="12"/>
                <w:szCs w:val="12"/>
                <w:color w:val="auto"/>
              </w:rPr>
            </w:pPr>
          </w:p>
        </w:tc>
        <w:tc>
          <w:tcPr>
            <w:tcW w:w="1280" w:type="dxa"/>
            <w:vAlign w:val="bottom"/>
          </w:tcPr>
          <w:p>
            <w:pPr>
              <w:ind w:left="140"/>
              <w:spacing w:after="0" w:line="139" w:lineRule="exact"/>
              <w:rPr>
                <w:sz w:val="20"/>
                <w:szCs w:val="20"/>
                <w:color w:val="auto"/>
              </w:rPr>
            </w:pPr>
            <w:r>
              <w:rPr>
                <w:rFonts w:ascii="Arial" w:cs="Arial" w:eastAsia="Arial" w:hAnsi="Arial"/>
                <w:sz w:val="14"/>
                <w:szCs w:val="14"/>
                <w:b w:val="1"/>
                <w:bCs w:val="1"/>
                <w:color w:val="FBFBFB"/>
              </w:rPr>
              <w:t>Shares – 4 Year</w:t>
            </w:r>
          </w:p>
        </w:tc>
        <w:tc>
          <w:tcPr>
            <w:tcW w:w="1220" w:type="dxa"/>
            <w:vAlign w:val="bottom"/>
          </w:tcPr>
          <w:p>
            <w:pPr>
              <w:ind w:left="80"/>
              <w:spacing w:after="0" w:line="139" w:lineRule="exact"/>
              <w:rPr>
                <w:sz w:val="20"/>
                <w:szCs w:val="20"/>
                <w:color w:val="auto"/>
              </w:rPr>
            </w:pPr>
            <w:r>
              <w:rPr>
                <w:rFonts w:ascii="Arial" w:cs="Arial" w:eastAsia="Arial" w:hAnsi="Arial"/>
                <w:sz w:val="14"/>
                <w:szCs w:val="14"/>
                <w:b w:val="1"/>
                <w:bCs w:val="1"/>
                <w:color w:val="FBFBFB"/>
              </w:rPr>
              <w:t>Shares – 3 Year</w:t>
            </w:r>
          </w:p>
        </w:tc>
        <w:tc>
          <w:tcPr>
            <w:tcW w:w="126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FBFBFB"/>
              </w:rPr>
              <w:t>Restricted</w:t>
            </w:r>
          </w:p>
        </w:tc>
        <w:tc>
          <w:tcPr>
            <w:tcW w:w="140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FBFBFB"/>
              </w:rPr>
              <w:t>Restricted</w:t>
            </w:r>
          </w:p>
        </w:tc>
        <w:tc>
          <w:tcPr>
            <w:tcW w:w="96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FBFBFB"/>
              </w:rPr>
              <w:t>Value per</w:t>
            </w:r>
          </w:p>
        </w:tc>
        <w:tc>
          <w:tcPr>
            <w:tcW w:w="0" w:type="dxa"/>
            <w:vAlign w:val="bottom"/>
          </w:tcPr>
          <w:p>
            <w:pPr>
              <w:spacing w:after="0"/>
              <w:rPr>
                <w:sz w:val="1"/>
                <w:szCs w:val="1"/>
                <w:color w:val="auto"/>
              </w:rPr>
            </w:pPr>
          </w:p>
        </w:tc>
      </w:tr>
      <w:tr>
        <w:trPr>
          <w:trHeight w:val="196"/>
        </w:trPr>
        <w:tc>
          <w:tcPr>
            <w:tcW w:w="174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FBFBFB"/>
              </w:rPr>
              <w:t>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BFBFB"/>
              </w:rPr>
              <w:t>Vest #</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BFBFB"/>
              </w:rPr>
              <w:t>Cliff Vest #</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FBFBFB"/>
              </w:rPr>
              <w:t>Shares</w:t>
            </w:r>
          </w:p>
        </w:tc>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FBFBFB"/>
              </w:rPr>
              <w:t>Shares</w:t>
            </w: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FBFBFB"/>
              </w:rPr>
              <w:t>Share</w:t>
            </w:r>
          </w:p>
        </w:tc>
        <w:tc>
          <w:tcPr>
            <w:tcW w:w="0" w:type="dxa"/>
            <w:vAlign w:val="bottom"/>
          </w:tcPr>
          <w:p>
            <w:pPr>
              <w:spacing w:after="0"/>
              <w:rPr>
                <w:sz w:val="1"/>
                <w:szCs w:val="1"/>
                <w:color w:val="auto"/>
              </w:rPr>
            </w:pPr>
          </w:p>
        </w:tc>
      </w:tr>
      <w:tr>
        <w:trPr>
          <w:trHeight w:val="223"/>
        </w:trPr>
        <w:tc>
          <w:tcPr>
            <w:tcW w:w="1740" w:type="dxa"/>
            <w:vAlign w:val="bottom"/>
          </w:tcPr>
          <w:p>
            <w:pPr>
              <w:ind w:left="40"/>
              <w:spacing w:after="0"/>
              <w:rPr>
                <w:sz w:val="20"/>
                <w:szCs w:val="20"/>
                <w:color w:val="auto"/>
              </w:rPr>
            </w:pPr>
            <w:r>
              <w:rPr>
                <w:rFonts w:ascii="Arial" w:cs="Arial" w:eastAsia="Arial" w:hAnsi="Arial"/>
                <w:sz w:val="14"/>
                <w:szCs w:val="14"/>
                <w:color w:val="auto"/>
              </w:rPr>
              <w:t>Richard F. Westenberger</w:t>
            </w:r>
          </w:p>
        </w:tc>
        <w:tc>
          <w:tcPr>
            <w:tcW w:w="860" w:type="dxa"/>
            <w:vAlign w:val="bottom"/>
          </w:tcPr>
          <w:p>
            <w:pPr>
              <w:jc w:val="center"/>
              <w:spacing w:after="0"/>
              <w:rPr>
                <w:sz w:val="20"/>
                <w:szCs w:val="20"/>
                <w:color w:val="auto"/>
              </w:rPr>
            </w:pPr>
            <w:r>
              <w:rPr>
                <w:rFonts w:ascii="Arial" w:cs="Arial" w:eastAsia="Arial" w:hAnsi="Arial"/>
                <w:sz w:val="14"/>
                <w:szCs w:val="14"/>
                <w:color w:val="auto"/>
              </w:rPr>
              <w:t>2/28/2024</w:t>
            </w:r>
          </w:p>
        </w:tc>
        <w:tc>
          <w:tcPr>
            <w:tcW w:w="1280" w:type="dxa"/>
            <w:vAlign w:val="bottom"/>
          </w:tcPr>
          <w:p>
            <w:pPr>
              <w:jc w:val="center"/>
              <w:spacing w:after="0"/>
              <w:rPr>
                <w:sz w:val="20"/>
                <w:szCs w:val="20"/>
                <w:color w:val="auto"/>
              </w:rPr>
            </w:pPr>
            <w:r>
              <w:rPr>
                <w:rFonts w:ascii="Arial" w:cs="Arial" w:eastAsia="Arial" w:hAnsi="Arial"/>
                <w:sz w:val="14"/>
                <w:szCs w:val="14"/>
                <w:color w:val="auto"/>
              </w:rPr>
              <w:t>9,152</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6,040</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2/28/2024</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3,112 $</w:t>
            </w:r>
          </w:p>
        </w:tc>
        <w:tc>
          <w:tcPr>
            <w:tcW w:w="960" w:type="dxa"/>
            <w:vAlign w:val="bottom"/>
          </w:tcPr>
          <w:p>
            <w:pPr>
              <w:jc w:val="right"/>
              <w:spacing w:after="0"/>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2/27/2023</w:t>
            </w:r>
          </w:p>
        </w:tc>
        <w:tc>
          <w:tcPr>
            <w:tcW w:w="1280" w:type="dxa"/>
            <w:vAlign w:val="bottom"/>
          </w:tcPr>
          <w:p>
            <w:pPr>
              <w:jc w:val="center"/>
              <w:spacing w:after="0"/>
              <w:rPr>
                <w:sz w:val="20"/>
                <w:szCs w:val="20"/>
                <w:color w:val="auto"/>
              </w:rPr>
            </w:pPr>
            <w:r>
              <w:rPr>
                <w:rFonts w:ascii="Arial" w:cs="Arial" w:eastAsia="Arial" w:hAnsi="Arial"/>
                <w:sz w:val="14"/>
                <w:szCs w:val="14"/>
                <w:color w:val="auto"/>
              </w:rPr>
              <w:t>7,851</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10,468</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74.06</w:t>
            </w: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2/16/2022</w:t>
            </w:r>
          </w:p>
        </w:tc>
        <w:tc>
          <w:tcPr>
            <w:tcW w:w="1280" w:type="dxa"/>
            <w:vAlign w:val="bottom"/>
          </w:tcPr>
          <w:p>
            <w:pPr>
              <w:jc w:val="center"/>
              <w:spacing w:after="0"/>
              <w:rPr>
                <w:sz w:val="20"/>
                <w:szCs w:val="20"/>
                <w:color w:val="auto"/>
              </w:rPr>
            </w:pPr>
            <w:r>
              <w:rPr>
                <w:rFonts w:ascii="Arial" w:cs="Arial" w:eastAsia="Arial" w:hAnsi="Arial"/>
                <w:sz w:val="14"/>
                <w:szCs w:val="14"/>
                <w:color w:val="auto"/>
              </w:rPr>
              <w:t>3,430</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6,860</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91.12</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2/10/2021</w:t>
            </w:r>
          </w:p>
        </w:tc>
        <w:tc>
          <w:tcPr>
            <w:tcW w:w="1280" w:type="dxa"/>
            <w:vAlign w:val="bottom"/>
          </w:tcPr>
          <w:p>
            <w:pPr>
              <w:jc w:val="center"/>
              <w:spacing w:after="0"/>
              <w:rPr>
                <w:sz w:val="20"/>
                <w:szCs w:val="20"/>
                <w:color w:val="auto"/>
              </w:rPr>
            </w:pPr>
            <w:r>
              <w:rPr>
                <w:rFonts w:ascii="Arial" w:cs="Arial" w:eastAsia="Arial" w:hAnsi="Arial"/>
                <w:sz w:val="14"/>
                <w:szCs w:val="14"/>
                <w:color w:val="auto"/>
              </w:rPr>
              <w:t>2,805</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98.05</w:t>
            </w:r>
          </w:p>
        </w:tc>
        <w:tc>
          <w:tcPr>
            <w:tcW w:w="0" w:type="dxa"/>
            <w:vAlign w:val="bottom"/>
          </w:tcPr>
          <w:p>
            <w:pPr>
              <w:spacing w:after="0"/>
              <w:rPr>
                <w:sz w:val="1"/>
                <w:szCs w:val="1"/>
                <w:color w:val="auto"/>
              </w:rPr>
            </w:pPr>
          </w:p>
        </w:tc>
      </w:tr>
      <w:tr>
        <w:trPr>
          <w:trHeight w:val="216"/>
        </w:trPr>
        <w:tc>
          <w:tcPr>
            <w:tcW w:w="1740" w:type="dxa"/>
            <w:vAlign w:val="bottom"/>
          </w:tcPr>
          <w:p>
            <w:pPr>
              <w:ind w:left="40"/>
              <w:spacing w:after="0"/>
              <w:rPr>
                <w:sz w:val="20"/>
                <w:szCs w:val="20"/>
                <w:color w:val="auto"/>
              </w:rPr>
            </w:pPr>
            <w:r>
              <w:rPr>
                <w:rFonts w:ascii="Arial" w:cs="Arial" w:eastAsia="Arial" w:hAnsi="Arial"/>
                <w:sz w:val="14"/>
                <w:szCs w:val="14"/>
                <w:color w:val="auto"/>
              </w:rPr>
              <w:t>Kendra D. Krugman</w:t>
            </w:r>
          </w:p>
        </w:tc>
        <w:tc>
          <w:tcPr>
            <w:tcW w:w="860" w:type="dxa"/>
            <w:vAlign w:val="bottom"/>
          </w:tcPr>
          <w:p>
            <w:pPr>
              <w:jc w:val="center"/>
              <w:spacing w:after="0"/>
              <w:rPr>
                <w:sz w:val="20"/>
                <w:szCs w:val="20"/>
                <w:color w:val="auto"/>
              </w:rPr>
            </w:pPr>
            <w:r>
              <w:rPr>
                <w:rFonts w:ascii="Arial" w:cs="Arial" w:eastAsia="Arial" w:hAnsi="Arial"/>
                <w:sz w:val="14"/>
                <w:szCs w:val="14"/>
                <w:color w:val="auto"/>
              </w:rPr>
              <w:t>2/28/2024</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6,040</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bl>
    <w:p>
      <w:pPr>
        <w:sectPr>
          <w:pgSz w:w="11900" w:h="16937" w:orient="portrait"/>
          <w:cols w:equalWidth="0" w:num="1">
            <w:col w:w="9040"/>
          </w:cols>
          <w:pgMar w:left="1440" w:top="258" w:right="1419" w:bottom="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774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677418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1"/>
        </w:trPr>
        <w:tc>
          <w:tcPr>
            <w:tcW w:w="1780" w:type="dxa"/>
            <w:vAlign w:val="bottom"/>
            <w:shd w:val="clear" w:color="auto" w:fill="123054"/>
          </w:tcPr>
          <w:p>
            <w:pPr>
              <w:spacing w:after="0"/>
              <w:rPr>
                <w:sz w:val="14"/>
                <w:szCs w:val="14"/>
                <w:color w:val="auto"/>
              </w:rPr>
            </w:pPr>
          </w:p>
        </w:tc>
        <w:tc>
          <w:tcPr>
            <w:tcW w:w="760" w:type="dxa"/>
            <w:vAlign w:val="bottom"/>
            <w:vMerge w:val="restart"/>
            <w:shd w:val="clear" w:color="auto" w:fill="123054"/>
          </w:tcPr>
          <w:p>
            <w:pPr>
              <w:jc w:val="center"/>
              <w:spacing w:after="0"/>
              <w:rPr>
                <w:sz w:val="20"/>
                <w:szCs w:val="20"/>
                <w:color w:val="auto"/>
              </w:rPr>
            </w:pPr>
            <w:r>
              <w:rPr>
                <w:rFonts w:ascii="Arial" w:cs="Arial" w:eastAsia="Arial" w:hAnsi="Arial"/>
                <w:sz w:val="14"/>
                <w:szCs w:val="14"/>
                <w:color w:val="auto"/>
              </w:rPr>
              <w:t>2/28/2024</w:t>
            </w:r>
          </w:p>
        </w:tc>
        <w:tc>
          <w:tcPr>
            <w:tcW w:w="140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rPr>
              <w:t>9,152</w:t>
            </w:r>
          </w:p>
        </w:tc>
        <w:tc>
          <w:tcPr>
            <w:tcW w:w="102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vMerge w:val="restart"/>
            <w:shd w:val="clear" w:color="auto" w:fill="123054"/>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vMerge w:val="restart"/>
            <w:shd w:val="clear" w:color="auto" w:fill="123054"/>
          </w:tcPr>
          <w:p>
            <w:pPr>
              <w:jc w:val="right"/>
              <w:ind w:right="248"/>
              <w:spacing w:after="0"/>
              <w:rPr>
                <w:sz w:val="20"/>
                <w:szCs w:val="20"/>
                <w:color w:val="auto"/>
              </w:rPr>
            </w:pPr>
            <w:r>
              <w:rPr>
                <w:rFonts w:ascii="Arial" w:cs="Arial" w:eastAsia="Arial" w:hAnsi="Arial"/>
                <w:sz w:val="14"/>
                <w:szCs w:val="14"/>
                <w:color w:val="auto"/>
              </w:rPr>
              <w:t>3,112 $</w:t>
            </w:r>
          </w:p>
        </w:tc>
        <w:tc>
          <w:tcPr>
            <w:tcW w:w="760" w:type="dxa"/>
            <w:vAlign w:val="bottom"/>
            <w:vMerge w:val="restart"/>
            <w:shd w:val="clear" w:color="auto" w:fill="123054"/>
          </w:tcPr>
          <w:p>
            <w:pPr>
              <w:jc w:val="right"/>
              <w:spacing w:after="0"/>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166"/>
        </w:trPr>
        <w:tc>
          <w:tcPr>
            <w:tcW w:w="1780" w:type="dxa"/>
            <w:vAlign w:val="bottom"/>
            <w:shd w:val="clear" w:color="auto" w:fill="123054"/>
          </w:tcPr>
          <w:p>
            <w:pPr>
              <w:spacing w:after="0"/>
              <w:rPr>
                <w:sz w:val="14"/>
                <w:szCs w:val="14"/>
                <w:color w:val="auto"/>
              </w:rPr>
            </w:pPr>
          </w:p>
        </w:tc>
        <w:tc>
          <w:tcPr>
            <w:tcW w:w="760" w:type="dxa"/>
            <w:vAlign w:val="bottom"/>
            <w:vMerge w:val="continue"/>
            <w:shd w:val="clear" w:color="auto" w:fill="123054"/>
          </w:tcPr>
          <w:p>
            <w:pPr>
              <w:spacing w:after="0"/>
              <w:rPr>
                <w:sz w:val="14"/>
                <w:szCs w:val="14"/>
                <w:color w:val="auto"/>
              </w:rPr>
            </w:pPr>
          </w:p>
        </w:tc>
        <w:tc>
          <w:tcPr>
            <w:tcW w:w="1400" w:type="dxa"/>
            <w:vAlign w:val="bottom"/>
            <w:shd w:val="clear" w:color="auto" w:fill="123054"/>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vMerge w:val="continue"/>
            <w:shd w:val="clear" w:color="auto" w:fill="123054"/>
          </w:tcPr>
          <w:p>
            <w:pPr>
              <w:spacing w:after="0"/>
              <w:rPr>
                <w:sz w:val="14"/>
                <w:szCs w:val="14"/>
                <w:color w:val="auto"/>
              </w:rPr>
            </w:pPr>
          </w:p>
        </w:tc>
        <w:tc>
          <w:tcPr>
            <w:tcW w:w="1640" w:type="dxa"/>
            <w:vAlign w:val="bottom"/>
            <w:vMerge w:val="continue"/>
            <w:shd w:val="clear" w:color="auto" w:fill="123054"/>
          </w:tcPr>
          <w:p>
            <w:pPr>
              <w:spacing w:after="0"/>
              <w:rPr>
                <w:sz w:val="14"/>
                <w:szCs w:val="14"/>
                <w:color w:val="auto"/>
              </w:rPr>
            </w:pPr>
          </w:p>
        </w:tc>
        <w:tc>
          <w:tcPr>
            <w:tcW w:w="760" w:type="dxa"/>
            <w:vAlign w:val="bottom"/>
            <w:vMerge w:val="continue"/>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80" w:type="dxa"/>
            <w:vAlign w:val="bottom"/>
            <w:shd w:val="clear" w:color="auto" w:fill="123054"/>
          </w:tcPr>
          <w:p>
            <w:pPr>
              <w:spacing w:after="0"/>
              <w:rPr>
                <w:sz w:val="16"/>
                <w:szCs w:val="16"/>
                <w:color w:val="auto"/>
              </w:rPr>
            </w:pPr>
          </w:p>
        </w:tc>
        <w:tc>
          <w:tcPr>
            <w:tcW w:w="760" w:type="dxa"/>
            <w:vAlign w:val="bottom"/>
            <w:shd w:val="clear" w:color="auto" w:fill="123054"/>
          </w:tcPr>
          <w:p>
            <w:pPr>
              <w:jc w:val="center"/>
              <w:spacing w:after="0"/>
              <w:rPr>
                <w:sz w:val="20"/>
                <w:szCs w:val="20"/>
                <w:color w:val="auto"/>
              </w:rPr>
            </w:pPr>
            <w:r>
              <w:rPr>
                <w:rFonts w:ascii="Arial" w:cs="Arial" w:eastAsia="Arial" w:hAnsi="Arial"/>
                <w:sz w:val="14"/>
                <w:szCs w:val="14"/>
                <w:color w:val="auto"/>
              </w:rPr>
              <w:t>2/27/2023</w:t>
            </w:r>
          </w:p>
        </w:tc>
        <w:tc>
          <w:tcPr>
            <w:tcW w:w="140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rPr>
              <w:t>4,053</w:t>
            </w:r>
          </w:p>
        </w:tc>
        <w:tc>
          <w:tcPr>
            <w:tcW w:w="102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123054"/>
          </w:tcPr>
          <w:p>
            <w:pPr>
              <w:jc w:val="center"/>
              <w:ind w:left="8"/>
              <w:spacing w:after="0"/>
              <w:rPr>
                <w:sz w:val="20"/>
                <w:szCs w:val="20"/>
                <w:color w:val="auto"/>
              </w:rPr>
            </w:pPr>
            <w:r>
              <w:rPr>
                <w:rFonts w:ascii="Arial" w:cs="Arial" w:eastAsia="Arial" w:hAnsi="Arial"/>
                <w:sz w:val="14"/>
                <w:szCs w:val="14"/>
                <w:color w:val="auto"/>
              </w:rPr>
              <w:t>5,404</w:t>
            </w:r>
          </w:p>
        </w:tc>
        <w:tc>
          <w:tcPr>
            <w:tcW w:w="1640" w:type="dxa"/>
            <w:vAlign w:val="bottom"/>
            <w:shd w:val="clear" w:color="auto" w:fill="123054"/>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123054"/>
          </w:tcPr>
          <w:p>
            <w:pPr>
              <w:jc w:val="right"/>
              <w:spacing w:after="0"/>
              <w:rPr>
                <w:sz w:val="20"/>
                <w:szCs w:val="20"/>
                <w:color w:val="auto"/>
              </w:rPr>
            </w:pPr>
            <w:r>
              <w:rPr>
                <w:rFonts w:ascii="Arial" w:cs="Arial" w:eastAsia="Arial" w:hAnsi="Arial"/>
                <w:sz w:val="14"/>
                <w:szCs w:val="14"/>
                <w:color w:val="auto"/>
              </w:rPr>
              <w:t>74.06</w:t>
            </w:r>
          </w:p>
        </w:tc>
        <w:tc>
          <w:tcPr>
            <w:tcW w:w="0" w:type="dxa"/>
            <w:vAlign w:val="bottom"/>
          </w:tcPr>
          <w:p>
            <w:pPr>
              <w:spacing w:after="0"/>
              <w:rPr>
                <w:sz w:val="1"/>
                <w:szCs w:val="1"/>
                <w:color w:val="auto"/>
              </w:rPr>
            </w:pPr>
          </w:p>
        </w:tc>
      </w:tr>
      <w:tr>
        <w:trPr>
          <w:trHeight w:val="197"/>
        </w:trPr>
        <w:tc>
          <w:tcPr>
            <w:tcW w:w="1780" w:type="dxa"/>
            <w:vAlign w:val="bottom"/>
            <w:shd w:val="clear" w:color="auto" w:fill="123054"/>
          </w:tcPr>
          <w:p>
            <w:pPr>
              <w:spacing w:after="0"/>
              <w:rPr>
                <w:sz w:val="17"/>
                <w:szCs w:val="17"/>
                <w:color w:val="auto"/>
              </w:rPr>
            </w:pPr>
          </w:p>
        </w:tc>
        <w:tc>
          <w:tcPr>
            <w:tcW w:w="760" w:type="dxa"/>
            <w:vAlign w:val="bottom"/>
            <w:shd w:val="clear" w:color="auto" w:fill="123054"/>
          </w:tcPr>
          <w:p>
            <w:pPr>
              <w:jc w:val="center"/>
              <w:spacing w:after="0"/>
              <w:rPr>
                <w:sz w:val="20"/>
                <w:szCs w:val="20"/>
                <w:color w:val="auto"/>
              </w:rPr>
            </w:pPr>
            <w:r>
              <w:rPr>
                <w:rFonts w:ascii="Arial" w:cs="Arial" w:eastAsia="Arial" w:hAnsi="Arial"/>
                <w:sz w:val="14"/>
                <w:szCs w:val="14"/>
                <w:color w:val="auto"/>
              </w:rPr>
              <w:t>3/21/2023</w:t>
            </w:r>
          </w:p>
        </w:tc>
        <w:tc>
          <w:tcPr>
            <w:tcW w:w="1400" w:type="dxa"/>
            <w:vAlign w:val="bottom"/>
            <w:shd w:val="clear" w:color="auto" w:fill="123054"/>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123054"/>
          </w:tcPr>
          <w:p>
            <w:pPr>
              <w:jc w:val="center"/>
              <w:ind w:left="28"/>
              <w:spacing w:after="0"/>
              <w:rPr>
                <w:sz w:val="20"/>
                <w:szCs w:val="20"/>
                <w:color w:val="auto"/>
              </w:rPr>
            </w:pPr>
            <w:r>
              <w:rPr>
                <w:rFonts w:ascii="Arial" w:cs="Arial" w:eastAsia="Arial" w:hAnsi="Arial"/>
                <w:sz w:val="14"/>
                <w:szCs w:val="14"/>
                <w:color w:val="auto"/>
              </w:rPr>
              <w:t>14,022</w:t>
            </w:r>
          </w:p>
        </w:tc>
        <w:tc>
          <w:tcPr>
            <w:tcW w:w="1400" w:type="dxa"/>
            <w:vAlign w:val="bottom"/>
            <w:shd w:val="clear" w:color="auto" w:fill="123054"/>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shd w:val="clear" w:color="auto" w:fill="123054"/>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123054"/>
          </w:tcPr>
          <w:p>
            <w:pPr>
              <w:jc w:val="right"/>
              <w:spacing w:after="0"/>
              <w:rPr>
                <w:sz w:val="20"/>
                <w:szCs w:val="20"/>
                <w:color w:val="auto"/>
              </w:rPr>
            </w:pPr>
            <w:r>
              <w:rPr>
                <w:rFonts w:ascii="Arial" w:cs="Arial" w:eastAsia="Arial" w:hAnsi="Arial"/>
                <w:sz w:val="14"/>
                <w:szCs w:val="14"/>
                <w:color w:val="auto"/>
              </w:rPr>
              <w:t>71.32</w:t>
            </w:r>
          </w:p>
        </w:tc>
        <w:tc>
          <w:tcPr>
            <w:tcW w:w="0" w:type="dxa"/>
            <w:vAlign w:val="bottom"/>
          </w:tcPr>
          <w:p>
            <w:pPr>
              <w:spacing w:after="0"/>
              <w:rPr>
                <w:sz w:val="1"/>
                <w:szCs w:val="1"/>
                <w:color w:val="auto"/>
              </w:rPr>
            </w:pPr>
          </w:p>
        </w:tc>
      </w:tr>
      <w:tr>
        <w:trPr>
          <w:trHeight w:val="276"/>
        </w:trPr>
        <w:tc>
          <w:tcPr>
            <w:tcW w:w="17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2/16/2022</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2,746</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5,492</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91.12</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2/10/2021</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1,467</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98.05</w:t>
            </w:r>
          </w:p>
        </w:tc>
        <w:tc>
          <w:tcPr>
            <w:tcW w:w="0" w:type="dxa"/>
            <w:vAlign w:val="bottom"/>
          </w:tcPr>
          <w:p>
            <w:pPr>
              <w:spacing w:after="0"/>
              <w:rPr>
                <w:sz w:val="1"/>
                <w:szCs w:val="1"/>
                <w:color w:val="auto"/>
              </w:rPr>
            </w:pPr>
          </w:p>
        </w:tc>
      </w:tr>
      <w:tr>
        <w:trPr>
          <w:trHeight w:val="229"/>
        </w:trPr>
        <w:tc>
          <w:tcPr>
            <w:tcW w:w="1780" w:type="dxa"/>
            <w:vAlign w:val="bottom"/>
          </w:tcPr>
          <w:p>
            <w:pPr>
              <w:ind w:left="60"/>
              <w:spacing w:after="0"/>
              <w:rPr>
                <w:sz w:val="20"/>
                <w:szCs w:val="20"/>
                <w:color w:val="auto"/>
              </w:rPr>
            </w:pPr>
            <w:r>
              <w:rPr>
                <w:rFonts w:ascii="Arial" w:cs="Arial" w:eastAsia="Arial" w:hAnsi="Arial"/>
                <w:sz w:val="14"/>
                <w:szCs w:val="14"/>
                <w:color w:val="auto"/>
              </w:rPr>
              <w:t>Allison M. Peterson</w:t>
            </w:r>
          </w:p>
        </w:tc>
        <w:tc>
          <w:tcPr>
            <w:tcW w:w="760" w:type="dxa"/>
            <w:vAlign w:val="bottom"/>
          </w:tcPr>
          <w:p>
            <w:pPr>
              <w:jc w:val="center"/>
              <w:spacing w:after="0"/>
              <w:rPr>
                <w:sz w:val="20"/>
                <w:szCs w:val="20"/>
                <w:color w:val="auto"/>
              </w:rPr>
            </w:pPr>
            <w:r>
              <w:rPr>
                <w:rFonts w:ascii="Arial" w:cs="Arial" w:eastAsia="Arial" w:hAnsi="Arial"/>
                <w:sz w:val="14"/>
                <w:szCs w:val="14"/>
                <w:color w:val="auto"/>
              </w:rPr>
              <w:t>8/9/2024</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39,920</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62.63</w:t>
            </w:r>
          </w:p>
        </w:tc>
        <w:tc>
          <w:tcPr>
            <w:tcW w:w="0" w:type="dxa"/>
            <w:vAlign w:val="bottom"/>
          </w:tcPr>
          <w:p>
            <w:pPr>
              <w:spacing w:after="0"/>
              <w:rPr>
                <w:sz w:val="1"/>
                <w:szCs w:val="1"/>
                <w:color w:val="auto"/>
              </w:rPr>
            </w:pPr>
          </w:p>
        </w:tc>
      </w:tr>
      <w:tr>
        <w:trPr>
          <w:trHeight w:val="230"/>
        </w:trPr>
        <w:tc>
          <w:tcPr>
            <w:tcW w:w="1780" w:type="dxa"/>
            <w:vAlign w:val="bottom"/>
          </w:tcPr>
          <w:p>
            <w:pPr>
              <w:ind w:left="60"/>
              <w:spacing w:after="0"/>
              <w:rPr>
                <w:sz w:val="20"/>
                <w:szCs w:val="20"/>
                <w:color w:val="auto"/>
              </w:rPr>
            </w:pPr>
            <w:r>
              <w:rPr>
                <w:rFonts w:ascii="Arial" w:cs="Arial" w:eastAsia="Arial" w:hAnsi="Arial"/>
                <w:sz w:val="14"/>
                <w:szCs w:val="14"/>
                <w:color w:val="auto"/>
              </w:rPr>
              <w:t>Raghu R. Sagi</w:t>
            </w:r>
          </w:p>
        </w:tc>
        <w:tc>
          <w:tcPr>
            <w:tcW w:w="760" w:type="dxa"/>
            <w:vAlign w:val="bottom"/>
          </w:tcPr>
          <w:p>
            <w:pPr>
              <w:jc w:val="center"/>
              <w:spacing w:after="0"/>
              <w:rPr>
                <w:sz w:val="20"/>
                <w:szCs w:val="20"/>
                <w:color w:val="auto"/>
              </w:rPr>
            </w:pPr>
            <w:r>
              <w:rPr>
                <w:rFonts w:ascii="Arial" w:cs="Arial" w:eastAsia="Arial" w:hAnsi="Arial"/>
                <w:sz w:val="14"/>
                <w:szCs w:val="14"/>
                <w:color w:val="auto"/>
              </w:rPr>
              <w:t>5/10/2024</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14,484</w:t>
            </w: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69.05</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DBDBDB"/>
            </w:tcBorders>
          </w:tcPr>
          <w:p>
            <w:pPr>
              <w:ind w:left="60"/>
              <w:spacing w:after="0" w:line="150" w:lineRule="exact"/>
              <w:rPr>
                <w:sz w:val="20"/>
                <w:szCs w:val="20"/>
                <w:color w:val="auto"/>
              </w:rPr>
            </w:pPr>
            <w:r>
              <w:rPr>
                <w:rFonts w:ascii="Arial" w:cs="Arial" w:eastAsia="Arial" w:hAnsi="Arial"/>
                <w:sz w:val="14"/>
                <w:szCs w:val="14"/>
                <w:color w:val="auto"/>
              </w:rPr>
              <w:t>Michael D. Casey</w:t>
            </w:r>
          </w:p>
        </w:tc>
        <w:tc>
          <w:tcPr>
            <w:tcW w:w="760" w:type="dxa"/>
            <w:vAlign w:val="bottom"/>
          </w:tcPr>
          <w:p>
            <w:pPr>
              <w:jc w:val="center"/>
              <w:spacing w:after="0" w:line="150" w:lineRule="exact"/>
              <w:rPr>
                <w:sz w:val="20"/>
                <w:szCs w:val="20"/>
                <w:color w:val="auto"/>
              </w:rPr>
            </w:pPr>
            <w:r>
              <w:rPr>
                <w:rFonts w:ascii="Arial" w:cs="Arial" w:eastAsia="Arial" w:hAnsi="Arial"/>
                <w:sz w:val="14"/>
                <w:szCs w:val="14"/>
                <w:color w:val="auto"/>
              </w:rPr>
              <w:t>2/28/2024</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39,660</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26,176</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70"/>
        </w:trPr>
        <w:tc>
          <w:tcPr>
            <w:tcW w:w="1780" w:type="dxa"/>
            <w:vAlign w:val="bottom"/>
            <w:shd w:val="clear" w:color="auto" w:fill="DBDBDB"/>
          </w:tcPr>
          <w:p>
            <w:pPr>
              <w:spacing w:after="0"/>
              <w:rPr>
                <w:sz w:val="14"/>
                <w:szCs w:val="14"/>
                <w:color w:val="auto"/>
              </w:rPr>
            </w:pPr>
          </w:p>
        </w:tc>
        <w:tc>
          <w:tcPr>
            <w:tcW w:w="760" w:type="dxa"/>
            <w:vAlign w:val="bottom"/>
          </w:tcPr>
          <w:p>
            <w:pPr>
              <w:jc w:val="center"/>
              <w:spacing w:after="0" w:line="150" w:lineRule="exact"/>
              <w:rPr>
                <w:sz w:val="20"/>
                <w:szCs w:val="20"/>
                <w:color w:val="auto"/>
              </w:rPr>
            </w:pPr>
            <w:r>
              <w:rPr>
                <w:rFonts w:ascii="Arial" w:cs="Arial" w:eastAsia="Arial" w:hAnsi="Arial"/>
                <w:sz w:val="14"/>
                <w:szCs w:val="14"/>
                <w:color w:val="auto"/>
              </w:rPr>
              <w:t>2/28/2024</w:t>
            </w:r>
          </w:p>
        </w:tc>
        <w:tc>
          <w:tcPr>
            <w:tcW w:w="1400" w:type="dxa"/>
            <w:vAlign w:val="bottom"/>
          </w:tcPr>
          <w:p>
            <w:pPr>
              <w:jc w:val="center"/>
              <w:spacing w:after="0" w:line="150" w:lineRule="exact"/>
              <w:rPr>
                <w:sz w:val="20"/>
                <w:szCs w:val="20"/>
                <w:color w:val="auto"/>
              </w:rPr>
            </w:pPr>
            <w:r>
              <w:rPr>
                <w:rFonts w:ascii="Arial" w:cs="Arial" w:eastAsia="Arial" w:hAnsi="Arial"/>
                <w:sz w:val="14"/>
                <w:szCs w:val="14"/>
                <w:color w:val="auto"/>
                <w:w w:val="99"/>
              </w:rPr>
              <w:t>—</w:t>
            </w:r>
          </w:p>
        </w:tc>
        <w:tc>
          <w:tcPr>
            <w:tcW w:w="1020" w:type="dxa"/>
            <w:vAlign w:val="bottom"/>
          </w:tcPr>
          <w:p>
            <w:pPr>
              <w:jc w:val="center"/>
              <w:ind w:left="8"/>
              <w:spacing w:after="0" w:line="150" w:lineRule="exact"/>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line="150" w:lineRule="exact"/>
              <w:rPr>
                <w:sz w:val="20"/>
                <w:szCs w:val="20"/>
                <w:color w:val="auto"/>
              </w:rPr>
            </w:pPr>
            <w:r>
              <w:rPr>
                <w:rFonts w:ascii="Arial" w:cs="Arial" w:eastAsia="Arial" w:hAnsi="Arial"/>
                <w:sz w:val="14"/>
                <w:szCs w:val="14"/>
                <w:color w:val="auto"/>
                <w:w w:val="99"/>
              </w:rPr>
              <w:t>—</w:t>
            </w:r>
          </w:p>
        </w:tc>
        <w:tc>
          <w:tcPr>
            <w:tcW w:w="1640" w:type="dxa"/>
            <w:vAlign w:val="bottom"/>
          </w:tcPr>
          <w:p>
            <w:pPr>
              <w:jc w:val="right"/>
              <w:ind w:right="248"/>
              <w:spacing w:after="0" w:line="150" w:lineRule="exact"/>
              <w:rPr>
                <w:sz w:val="20"/>
                <w:szCs w:val="20"/>
                <w:color w:val="auto"/>
              </w:rPr>
            </w:pPr>
            <w:r>
              <w:rPr>
                <w:rFonts w:ascii="Arial" w:cs="Arial" w:eastAsia="Arial" w:hAnsi="Arial"/>
                <w:sz w:val="14"/>
                <w:szCs w:val="14"/>
                <w:color w:val="auto"/>
              </w:rPr>
              <w:t>13,484 $</w:t>
            </w:r>
          </w:p>
        </w:tc>
        <w:tc>
          <w:tcPr>
            <w:tcW w:w="760" w:type="dxa"/>
            <w:vAlign w:val="bottom"/>
          </w:tcPr>
          <w:p>
            <w:pPr>
              <w:jc w:val="right"/>
              <w:spacing w:after="0" w:line="150" w:lineRule="exact"/>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76"/>
        </w:trPr>
        <w:tc>
          <w:tcPr>
            <w:tcW w:w="1780" w:type="dxa"/>
            <w:vAlign w:val="bottom"/>
            <w:shd w:val="clear" w:color="auto" w:fill="DBDBDB"/>
          </w:tcPr>
          <w:p>
            <w:pPr>
              <w:spacing w:after="0"/>
              <w:rPr>
                <w:sz w:val="23"/>
                <w:szCs w:val="23"/>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2/27/2023</w:t>
            </w:r>
          </w:p>
        </w:tc>
        <w:tc>
          <w:tcPr>
            <w:tcW w:w="140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32,913</w:t>
            </w:r>
          </w:p>
        </w:tc>
        <w:tc>
          <w:tcPr>
            <w:tcW w:w="10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43,884</w:t>
            </w:r>
          </w:p>
        </w:tc>
        <w:tc>
          <w:tcPr>
            <w:tcW w:w="164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74.06</w:t>
            </w:r>
          </w:p>
        </w:tc>
        <w:tc>
          <w:tcPr>
            <w:tcW w:w="0" w:type="dxa"/>
            <w:vAlign w:val="bottom"/>
          </w:tcPr>
          <w:p>
            <w:pPr>
              <w:spacing w:after="0"/>
              <w:rPr>
                <w:sz w:val="1"/>
                <w:szCs w:val="1"/>
                <w:color w:val="auto"/>
              </w:rPr>
            </w:pPr>
          </w:p>
        </w:tc>
      </w:tr>
      <w:tr>
        <w:trPr>
          <w:trHeight w:val="183"/>
        </w:trPr>
        <w:tc>
          <w:tcPr>
            <w:tcW w:w="1780" w:type="dxa"/>
            <w:vAlign w:val="bottom"/>
            <w:shd w:val="clear" w:color="auto" w:fill="DBDBDB"/>
          </w:tcPr>
          <w:p>
            <w:pPr>
              <w:spacing w:after="0"/>
              <w:rPr>
                <w:sz w:val="15"/>
                <w:szCs w:val="15"/>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2/16/2022</w:t>
            </w:r>
          </w:p>
        </w:tc>
        <w:tc>
          <w:tcPr>
            <w:tcW w:w="140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17,834</w:t>
            </w:r>
          </w:p>
        </w:tc>
        <w:tc>
          <w:tcPr>
            <w:tcW w:w="10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35,668</w:t>
            </w:r>
          </w:p>
        </w:tc>
        <w:tc>
          <w:tcPr>
            <w:tcW w:w="164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91.12</w:t>
            </w:r>
          </w:p>
        </w:tc>
        <w:tc>
          <w:tcPr>
            <w:tcW w:w="0" w:type="dxa"/>
            <w:vAlign w:val="bottom"/>
          </w:tcPr>
          <w:p>
            <w:pPr>
              <w:spacing w:after="0"/>
              <w:rPr>
                <w:sz w:val="1"/>
                <w:szCs w:val="1"/>
                <w:color w:val="auto"/>
              </w:rPr>
            </w:pPr>
          </w:p>
        </w:tc>
      </w:tr>
      <w:tr>
        <w:trPr>
          <w:trHeight w:val="269"/>
        </w:trPr>
        <w:tc>
          <w:tcPr>
            <w:tcW w:w="1780" w:type="dxa"/>
            <w:vAlign w:val="bottom"/>
            <w:tcBorders>
              <w:bottom w:val="single" w:sz="8" w:color="DBDBDB"/>
            </w:tcBorders>
            <w:shd w:val="clear" w:color="auto" w:fill="DBDBDB"/>
          </w:tcPr>
          <w:p>
            <w:pPr>
              <w:spacing w:after="0"/>
              <w:rPr>
                <w:sz w:val="23"/>
                <w:szCs w:val="23"/>
                <w:color w:val="auto"/>
              </w:rPr>
            </w:pP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2/10/2021</w:t>
            </w:r>
          </w:p>
        </w:tc>
        <w:tc>
          <w:tcPr>
            <w:tcW w:w="1400" w:type="dxa"/>
            <w:vAlign w:val="bottom"/>
            <w:tcBorders>
              <w:bottom w:val="single" w:sz="8" w:color="DBDBDB"/>
            </w:tcBorders>
            <w:shd w:val="clear" w:color="auto" w:fill="DBDBDB"/>
          </w:tcPr>
          <w:p>
            <w:pPr>
              <w:jc w:val="center"/>
              <w:ind w:left="8"/>
              <w:spacing w:after="0"/>
              <w:rPr>
                <w:sz w:val="20"/>
                <w:szCs w:val="20"/>
                <w:color w:val="auto"/>
              </w:rPr>
            </w:pPr>
            <w:r>
              <w:rPr>
                <w:rFonts w:ascii="Arial" w:cs="Arial" w:eastAsia="Arial" w:hAnsi="Arial"/>
                <w:sz w:val="14"/>
                <w:szCs w:val="14"/>
                <w:color w:val="auto"/>
              </w:rPr>
              <w:t>16,574</w:t>
            </w:r>
          </w:p>
        </w:tc>
        <w:tc>
          <w:tcPr>
            <w:tcW w:w="1020" w:type="dxa"/>
            <w:vAlign w:val="bottom"/>
            <w:tcBorders>
              <w:bottom w:val="single" w:sz="8" w:color="DBDBDB"/>
            </w:tcBorders>
            <w:shd w:val="clear" w:color="auto" w:fill="DBDBDB"/>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98.05</w:t>
            </w:r>
          </w:p>
        </w:tc>
        <w:tc>
          <w:tcPr>
            <w:tcW w:w="0" w:type="dxa"/>
            <w:vAlign w:val="bottom"/>
          </w:tcPr>
          <w:p>
            <w:pPr>
              <w:spacing w:after="0"/>
              <w:rPr>
                <w:sz w:val="1"/>
                <w:szCs w:val="1"/>
                <w:color w:val="auto"/>
              </w:rPr>
            </w:pPr>
          </w:p>
        </w:tc>
      </w:tr>
      <w:tr>
        <w:trPr>
          <w:trHeight w:val="183"/>
        </w:trPr>
        <w:tc>
          <w:tcPr>
            <w:tcW w:w="1780" w:type="dxa"/>
            <w:vAlign w:val="bottom"/>
            <w:vMerge w:val="restart"/>
            <w:shd w:val="clear" w:color="auto" w:fill="DBDBDB"/>
          </w:tcPr>
          <w:p>
            <w:pPr>
              <w:ind w:left="60"/>
              <w:spacing w:after="0"/>
              <w:rPr>
                <w:sz w:val="20"/>
                <w:szCs w:val="20"/>
                <w:color w:val="auto"/>
              </w:rPr>
            </w:pPr>
            <w:r>
              <w:rPr>
                <w:rFonts w:ascii="Arial" w:cs="Arial" w:eastAsia="Arial" w:hAnsi="Arial"/>
                <w:sz w:val="14"/>
                <w:szCs w:val="14"/>
                <w:color w:val="auto"/>
              </w:rPr>
              <w:t>Brian J. Lynch</w:t>
            </w:r>
          </w:p>
        </w:tc>
        <w:tc>
          <w:tcPr>
            <w:tcW w:w="7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2/28/2024</w:t>
            </w:r>
          </w:p>
        </w:tc>
        <w:tc>
          <w:tcPr>
            <w:tcW w:w="14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shd w:val="clear" w:color="auto" w:fill="DBDBDB"/>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46"/>
        </w:trPr>
        <w:tc>
          <w:tcPr>
            <w:tcW w:w="1780" w:type="dxa"/>
            <w:vAlign w:val="bottom"/>
            <w:vMerge w:val="continue"/>
            <w:shd w:val="clear" w:color="auto" w:fill="DBDBDB"/>
          </w:tcPr>
          <w:p>
            <w:pPr>
              <w:spacing w:after="0"/>
              <w:rPr>
                <w:sz w:val="4"/>
                <w:szCs w:val="4"/>
                <w:color w:val="auto"/>
              </w:rPr>
            </w:pPr>
          </w:p>
        </w:tc>
        <w:tc>
          <w:tcPr>
            <w:tcW w:w="760" w:type="dxa"/>
            <w:vAlign w:val="bottom"/>
            <w:vMerge w:val="continue"/>
            <w:shd w:val="clear" w:color="auto" w:fill="DBDBDB"/>
          </w:tcPr>
          <w:p>
            <w:pPr>
              <w:spacing w:after="0"/>
              <w:rPr>
                <w:sz w:val="4"/>
                <w:szCs w:val="4"/>
                <w:color w:val="auto"/>
              </w:rPr>
            </w:pPr>
          </w:p>
        </w:tc>
        <w:tc>
          <w:tcPr>
            <w:tcW w:w="1400" w:type="dxa"/>
            <w:vAlign w:val="bottom"/>
            <w:vMerge w:val="continue"/>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1400" w:type="dxa"/>
            <w:vAlign w:val="bottom"/>
            <w:shd w:val="clear" w:color="auto" w:fill="DBDBDB"/>
          </w:tcPr>
          <w:p>
            <w:pPr>
              <w:spacing w:after="0"/>
              <w:rPr>
                <w:sz w:val="4"/>
                <w:szCs w:val="4"/>
                <w:color w:val="auto"/>
              </w:rPr>
            </w:pPr>
          </w:p>
        </w:tc>
        <w:tc>
          <w:tcPr>
            <w:tcW w:w="1640" w:type="dxa"/>
            <w:vAlign w:val="bottom"/>
            <w:shd w:val="clear" w:color="auto" w:fill="DBDBDB"/>
          </w:tcPr>
          <w:p>
            <w:pPr>
              <w:spacing w:after="0"/>
              <w:rPr>
                <w:sz w:val="4"/>
                <w:szCs w:val="4"/>
                <w:color w:val="auto"/>
              </w:rPr>
            </w:pPr>
          </w:p>
        </w:tc>
        <w:tc>
          <w:tcPr>
            <w:tcW w:w="76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780" w:type="dxa"/>
            <w:vAlign w:val="bottom"/>
            <w:shd w:val="clear" w:color="auto" w:fill="DBDBDB"/>
          </w:tcPr>
          <w:p>
            <w:pPr>
              <w:spacing w:after="0"/>
              <w:rPr>
                <w:sz w:val="14"/>
                <w:szCs w:val="14"/>
                <w:color w:val="auto"/>
              </w:rPr>
            </w:pPr>
          </w:p>
        </w:tc>
        <w:tc>
          <w:tcPr>
            <w:tcW w:w="760" w:type="dxa"/>
            <w:vAlign w:val="bottom"/>
            <w:shd w:val="clear" w:color="auto" w:fill="DBDBDB"/>
          </w:tcPr>
          <w:p>
            <w:pPr>
              <w:jc w:val="center"/>
              <w:spacing w:after="0" w:line="150" w:lineRule="exact"/>
              <w:rPr>
                <w:sz w:val="20"/>
                <w:szCs w:val="20"/>
                <w:color w:val="auto"/>
              </w:rPr>
            </w:pPr>
            <w:r>
              <w:rPr>
                <w:rFonts w:ascii="Arial" w:cs="Arial" w:eastAsia="Arial" w:hAnsi="Arial"/>
                <w:sz w:val="14"/>
                <w:szCs w:val="14"/>
                <w:color w:val="auto"/>
              </w:rPr>
              <w:t>2/28/2024</w:t>
            </w:r>
          </w:p>
        </w:tc>
        <w:tc>
          <w:tcPr>
            <w:tcW w:w="1400" w:type="dxa"/>
            <w:vAlign w:val="bottom"/>
            <w:shd w:val="clear" w:color="auto" w:fill="DBDBDB"/>
          </w:tcPr>
          <w:p>
            <w:pPr>
              <w:jc w:val="center"/>
              <w:spacing w:after="0" w:line="150" w:lineRule="exact"/>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center"/>
              <w:ind w:left="8"/>
              <w:spacing w:after="0" w:line="150" w:lineRule="exact"/>
              <w:rPr>
                <w:sz w:val="20"/>
                <w:szCs w:val="20"/>
                <w:color w:val="auto"/>
              </w:rPr>
            </w:pPr>
            <w:r>
              <w:rPr>
                <w:rFonts w:ascii="Arial" w:cs="Arial" w:eastAsia="Arial" w:hAnsi="Arial"/>
                <w:sz w:val="14"/>
                <w:szCs w:val="14"/>
                <w:color w:val="auto"/>
                <w:w w:val="99"/>
              </w:rPr>
              <w:t>—</w:t>
            </w:r>
          </w:p>
        </w:tc>
        <w:tc>
          <w:tcPr>
            <w:tcW w:w="1400" w:type="dxa"/>
            <w:vAlign w:val="bottom"/>
            <w:shd w:val="clear" w:color="auto" w:fill="DBDBDB"/>
          </w:tcPr>
          <w:p>
            <w:pPr>
              <w:jc w:val="center"/>
              <w:spacing w:after="0" w:line="150" w:lineRule="exact"/>
              <w:rPr>
                <w:sz w:val="20"/>
                <w:szCs w:val="20"/>
                <w:color w:val="auto"/>
              </w:rPr>
            </w:pPr>
            <w:r>
              <w:rPr>
                <w:rFonts w:ascii="Arial" w:cs="Arial" w:eastAsia="Arial" w:hAnsi="Arial"/>
                <w:sz w:val="14"/>
                <w:szCs w:val="14"/>
                <w:color w:val="auto"/>
                <w:w w:val="99"/>
              </w:rPr>
              <w:t>—</w:t>
            </w:r>
          </w:p>
        </w:tc>
        <w:tc>
          <w:tcPr>
            <w:tcW w:w="1640" w:type="dxa"/>
            <w:vAlign w:val="bottom"/>
            <w:shd w:val="clear" w:color="auto" w:fill="DBDBDB"/>
          </w:tcPr>
          <w:p>
            <w:pPr>
              <w:jc w:val="right"/>
              <w:ind w:right="248"/>
              <w:spacing w:after="0" w:line="150" w:lineRule="exact"/>
              <w:rPr>
                <w:sz w:val="20"/>
                <w:szCs w:val="20"/>
                <w:color w:val="auto"/>
              </w:rPr>
            </w:pPr>
            <w:r>
              <w:rPr>
                <w:rFonts w:ascii="Arial" w:cs="Arial" w:eastAsia="Arial" w:hAnsi="Arial"/>
                <w:sz w:val="14"/>
                <w:szCs w:val="14"/>
                <w:color w:val="auto"/>
              </w:rPr>
              <w:t>— $</w:t>
            </w:r>
          </w:p>
        </w:tc>
        <w:tc>
          <w:tcPr>
            <w:tcW w:w="760" w:type="dxa"/>
            <w:vAlign w:val="bottom"/>
            <w:shd w:val="clear" w:color="auto" w:fill="DBDBDB"/>
          </w:tcPr>
          <w:p>
            <w:pPr>
              <w:jc w:val="right"/>
              <w:spacing w:after="0" w:line="150" w:lineRule="exact"/>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2/27/2023</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16,880</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74.06</w:t>
            </w:r>
          </w:p>
        </w:tc>
        <w:tc>
          <w:tcPr>
            <w:tcW w:w="0" w:type="dxa"/>
            <w:vAlign w:val="bottom"/>
          </w:tcPr>
          <w:p>
            <w:pPr>
              <w:spacing w:after="0"/>
              <w:rPr>
                <w:sz w:val="1"/>
                <w:szCs w:val="1"/>
                <w:color w:val="auto"/>
              </w:rPr>
            </w:pPr>
          </w:p>
        </w:tc>
      </w:tr>
      <w:tr>
        <w:trPr>
          <w:trHeight w:val="229"/>
        </w:trPr>
        <w:tc>
          <w:tcPr>
            <w:tcW w:w="1780" w:type="dxa"/>
            <w:vAlign w:val="bottom"/>
            <w:shd w:val="clear" w:color="auto" w:fill="DBDBDB"/>
          </w:tcPr>
          <w:p>
            <w:pPr>
              <w:spacing w:after="0"/>
              <w:rPr>
                <w:sz w:val="19"/>
                <w:szCs w:val="19"/>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2/16/2022</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10,976</w:t>
            </w:r>
          </w:p>
        </w:tc>
        <w:tc>
          <w:tcPr>
            <w:tcW w:w="164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91.12</w:t>
            </w:r>
          </w:p>
        </w:tc>
        <w:tc>
          <w:tcPr>
            <w:tcW w:w="0" w:type="dxa"/>
            <w:vAlign w:val="bottom"/>
          </w:tcPr>
          <w:p>
            <w:pPr>
              <w:spacing w:after="0"/>
              <w:rPr>
                <w:sz w:val="1"/>
                <w:szCs w:val="1"/>
                <w:color w:val="auto"/>
              </w:rPr>
            </w:pPr>
          </w:p>
        </w:tc>
      </w:tr>
      <w:tr>
        <w:trPr>
          <w:trHeight w:val="289"/>
        </w:trPr>
        <w:tc>
          <w:tcPr>
            <w:tcW w:w="17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2/10/2021</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98.05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80" w:right="700" w:hanging="266"/>
        <w:spacing w:after="0" w:line="251" w:lineRule="auto"/>
        <w:tabs>
          <w:tab w:leader="none" w:pos="44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 based on the closing market price per share of the Company’s common stock as traded on the NYSE on December 27, 2024, the last trading day of fiscal2024, of $54.43.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659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365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OPTION EXERCISES AND STOCK VESTED IN FISCAL2024</w:t>
      </w:r>
    </w:p>
    <w:p>
      <w:pPr>
        <w:spacing w:after="0" w:line="181" w:lineRule="exact"/>
        <w:rPr>
          <w:sz w:val="20"/>
          <w:szCs w:val="20"/>
          <w:color w:val="auto"/>
        </w:rPr>
      </w:pPr>
    </w:p>
    <w:p>
      <w:pPr>
        <w:ind w:left="140"/>
        <w:spacing w:after="0" w:line="244" w:lineRule="auto"/>
        <w:rPr>
          <w:sz w:val="20"/>
          <w:szCs w:val="20"/>
          <w:color w:val="auto"/>
        </w:rPr>
      </w:pPr>
      <w:r>
        <w:rPr>
          <w:rFonts w:ascii="Arial" w:cs="Arial" w:eastAsia="Arial" w:hAnsi="Arial"/>
          <w:sz w:val="20"/>
          <w:szCs w:val="20"/>
          <w:color w:val="auto"/>
        </w:rPr>
        <w:t>The following table provides information concerning our NEOs’ exercises of stock options and vesting of restricted stock (both time and performance-based) during fiscal2024. The table reports, on an aggregate basis, the number of securities acquired upon exercise of stock options, the dollar value realized upon exercise of stock options, the number of shares of restricted stock that have vested, and the dollar value realized upon the vesting of restricted stock.</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980" w:type="dxa"/>
            <w:vAlign w:val="bottom"/>
            <w:tcBorders>
              <w:right w:val="single" w:sz="8" w:color="123054"/>
            </w:tcBorders>
            <w:shd w:val="clear" w:color="auto" w:fill="123054"/>
          </w:tcPr>
          <w:p>
            <w:pPr>
              <w:spacing w:after="0"/>
              <w:rPr>
                <w:sz w:val="22"/>
                <w:szCs w:val="22"/>
                <w:color w:val="auto"/>
              </w:rPr>
            </w:pPr>
          </w:p>
        </w:tc>
        <w:tc>
          <w:tcPr>
            <w:tcW w:w="3340" w:type="dxa"/>
            <w:vAlign w:val="bottom"/>
            <w:tcBorders>
              <w:right w:val="single" w:sz="8" w:color="123054"/>
            </w:tcBorders>
            <w:gridSpan w:val="2"/>
            <w:shd w:val="clear" w:color="auto" w:fill="123054"/>
          </w:tcPr>
          <w:p>
            <w:pPr>
              <w:ind w:left="1120"/>
              <w:spacing w:after="0"/>
              <w:rPr>
                <w:sz w:val="20"/>
                <w:szCs w:val="20"/>
                <w:color w:val="auto"/>
              </w:rPr>
            </w:pPr>
            <w:r>
              <w:rPr>
                <w:rFonts w:ascii="Arial" w:cs="Arial" w:eastAsia="Arial" w:hAnsi="Arial"/>
                <w:sz w:val="16"/>
                <w:szCs w:val="16"/>
                <w:b w:val="1"/>
                <w:bCs w:val="1"/>
                <w:color w:val="FBFBFB"/>
              </w:rPr>
              <w:t>Option Awards</w:t>
            </w:r>
          </w:p>
        </w:tc>
        <w:tc>
          <w:tcPr>
            <w:tcW w:w="3280" w:type="dxa"/>
            <w:vAlign w:val="bottom"/>
            <w:gridSpan w:val="2"/>
            <w:shd w:val="clear" w:color="auto" w:fill="123054"/>
          </w:tcPr>
          <w:p>
            <w:pPr>
              <w:ind w:left="1140"/>
              <w:spacing w:after="0"/>
              <w:rPr>
                <w:sz w:val="20"/>
                <w:szCs w:val="20"/>
                <w:color w:val="auto"/>
              </w:rPr>
            </w:pPr>
            <w:r>
              <w:rPr>
                <w:rFonts w:ascii="Arial" w:cs="Arial" w:eastAsia="Arial" w:hAnsi="Arial"/>
                <w:sz w:val="16"/>
                <w:szCs w:val="16"/>
                <w:b w:val="1"/>
                <w:bCs w:val="1"/>
                <w:color w:val="FBFBFB"/>
              </w:rPr>
              <w:t>Stock Awards</w:t>
            </w:r>
          </w:p>
        </w:tc>
        <w:tc>
          <w:tcPr>
            <w:tcW w:w="0" w:type="dxa"/>
            <w:vAlign w:val="bottom"/>
          </w:tcPr>
          <w:p>
            <w:pPr>
              <w:spacing w:after="0"/>
              <w:rPr>
                <w:sz w:val="1"/>
                <w:szCs w:val="1"/>
                <w:color w:val="auto"/>
              </w:rPr>
            </w:pPr>
          </w:p>
        </w:tc>
      </w:tr>
      <w:tr>
        <w:trPr>
          <w:trHeight w:val="203"/>
        </w:trPr>
        <w:tc>
          <w:tcPr>
            <w:tcW w:w="1980" w:type="dxa"/>
            <w:vAlign w:val="bottom"/>
            <w:tcBorders>
              <w:right w:val="single" w:sz="8" w:color="123054"/>
            </w:tcBorders>
            <w:shd w:val="clear" w:color="auto" w:fill="123054"/>
          </w:tcPr>
          <w:p>
            <w:pPr>
              <w:spacing w:after="0"/>
              <w:rPr>
                <w:sz w:val="17"/>
                <w:szCs w:val="17"/>
                <w:color w:val="auto"/>
              </w:rPr>
            </w:pPr>
          </w:p>
        </w:tc>
        <w:tc>
          <w:tcPr>
            <w:tcW w:w="16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Number of</w:t>
            </w:r>
          </w:p>
        </w:tc>
        <w:tc>
          <w:tcPr>
            <w:tcW w:w="1680" w:type="dxa"/>
            <w:vAlign w:val="bottom"/>
            <w:tcBorders>
              <w:right w:val="single" w:sz="8" w:color="123054"/>
            </w:tcBorders>
            <w:shd w:val="clear" w:color="auto" w:fill="123054"/>
          </w:tcPr>
          <w:p>
            <w:pPr>
              <w:spacing w:after="0"/>
              <w:rPr>
                <w:sz w:val="17"/>
                <w:szCs w:val="17"/>
                <w:color w:val="auto"/>
              </w:rPr>
            </w:pPr>
          </w:p>
        </w:tc>
        <w:tc>
          <w:tcPr>
            <w:tcW w:w="16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Number of</w:t>
            </w:r>
          </w:p>
        </w:tc>
        <w:tc>
          <w:tcPr>
            <w:tcW w:w="1640" w:type="dxa"/>
            <w:vAlign w:val="bottom"/>
            <w:shd w:val="clear" w:color="auto" w:fill="12305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80" w:type="dxa"/>
            <w:vAlign w:val="bottom"/>
            <w:tcBorders>
              <w:right w:val="single" w:sz="8" w:color="123054"/>
            </w:tcBorders>
            <w:shd w:val="clear" w:color="auto" w:fill="123054"/>
          </w:tcPr>
          <w:p>
            <w:pPr>
              <w:spacing w:after="0"/>
              <w:rPr>
                <w:sz w:val="14"/>
                <w:szCs w:val="14"/>
                <w:color w:val="auto"/>
              </w:rPr>
            </w:pPr>
          </w:p>
        </w:tc>
        <w:tc>
          <w:tcPr>
            <w:tcW w:w="166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Shares</w:t>
            </w:r>
          </w:p>
        </w:tc>
        <w:tc>
          <w:tcPr>
            <w:tcW w:w="1680" w:type="dxa"/>
            <w:vAlign w:val="bottom"/>
            <w:tcBorders>
              <w:right w:val="single" w:sz="8" w:color="123054"/>
            </w:tcBorders>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Value Realized</w:t>
            </w:r>
          </w:p>
        </w:tc>
        <w:tc>
          <w:tcPr>
            <w:tcW w:w="16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Shares</w:t>
            </w:r>
          </w:p>
        </w:tc>
        <w:tc>
          <w:tcPr>
            <w:tcW w:w="1640" w:type="dxa"/>
            <w:vAlign w:val="bottom"/>
            <w:vMerge w:val="restart"/>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Value Realized</w:t>
            </w:r>
          </w:p>
        </w:tc>
        <w:tc>
          <w:tcPr>
            <w:tcW w:w="0" w:type="dxa"/>
            <w:vAlign w:val="bottom"/>
          </w:tcPr>
          <w:p>
            <w:pPr>
              <w:spacing w:after="0"/>
              <w:rPr>
                <w:sz w:val="1"/>
                <w:szCs w:val="1"/>
                <w:color w:val="auto"/>
              </w:rPr>
            </w:pPr>
          </w:p>
        </w:tc>
      </w:tr>
      <w:tr>
        <w:trPr>
          <w:trHeight w:val="162"/>
        </w:trPr>
        <w:tc>
          <w:tcPr>
            <w:tcW w:w="1980" w:type="dxa"/>
            <w:vAlign w:val="bottom"/>
            <w:tcBorders>
              <w:right w:val="single" w:sz="8" w:color="123054"/>
            </w:tcBorders>
            <w:shd w:val="clear" w:color="auto" w:fill="123054"/>
          </w:tcPr>
          <w:p>
            <w:pPr>
              <w:spacing w:after="0"/>
              <w:rPr>
                <w:sz w:val="14"/>
                <w:szCs w:val="14"/>
                <w:color w:val="auto"/>
              </w:rPr>
            </w:pPr>
          </w:p>
        </w:tc>
        <w:tc>
          <w:tcPr>
            <w:tcW w:w="166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Acquired</w:t>
            </w:r>
          </w:p>
        </w:tc>
        <w:tc>
          <w:tcPr>
            <w:tcW w:w="1680" w:type="dxa"/>
            <w:vAlign w:val="bottom"/>
            <w:tcBorders>
              <w:right w:val="single" w:sz="8" w:color="123054"/>
            </w:tcBorders>
            <w:vMerge w:val="continue"/>
            <w:shd w:val="clear" w:color="auto" w:fill="123054"/>
          </w:tcPr>
          <w:p>
            <w:pPr>
              <w:spacing w:after="0"/>
              <w:rPr>
                <w:sz w:val="14"/>
                <w:szCs w:val="14"/>
                <w:color w:val="auto"/>
              </w:rPr>
            </w:pPr>
          </w:p>
        </w:tc>
        <w:tc>
          <w:tcPr>
            <w:tcW w:w="16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Acquired</w:t>
            </w:r>
          </w:p>
        </w:tc>
        <w:tc>
          <w:tcPr>
            <w:tcW w:w="1640" w:type="dxa"/>
            <w:vAlign w:val="bottom"/>
            <w:vMerge w:val="continue"/>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Borders>
              <w:right w:val="single" w:sz="8" w:color="123054"/>
            </w:tcBorders>
            <w:vMerge w:val="restart"/>
            <w:shd w:val="clear" w:color="auto" w:fill="123054"/>
          </w:tcPr>
          <w:p>
            <w:pPr>
              <w:ind w:left="20"/>
              <w:spacing w:after="0"/>
              <w:rPr>
                <w:sz w:val="20"/>
                <w:szCs w:val="20"/>
                <w:color w:val="auto"/>
              </w:rPr>
            </w:pPr>
            <w:r>
              <w:rPr>
                <w:rFonts w:ascii="Arial" w:cs="Arial" w:eastAsia="Arial" w:hAnsi="Arial"/>
                <w:sz w:val="16"/>
                <w:szCs w:val="16"/>
                <w:b w:val="1"/>
                <w:bCs w:val="1"/>
                <w:color w:val="FBFBFB"/>
              </w:rPr>
              <w:t>Name</w:t>
            </w:r>
          </w:p>
        </w:tc>
        <w:tc>
          <w:tcPr>
            <w:tcW w:w="1660" w:type="dxa"/>
            <w:vAlign w:val="bottom"/>
            <w:tcBorders>
              <w:right w:val="single" w:sz="8" w:color="123054"/>
            </w:tcBorders>
            <w:shd w:val="clear" w:color="auto" w:fill="123054"/>
          </w:tcPr>
          <w:p>
            <w:pPr>
              <w:jc w:val="right"/>
              <w:ind w:right="239"/>
              <w:spacing w:after="0" w:line="162" w:lineRule="exact"/>
              <w:rPr>
                <w:sz w:val="20"/>
                <w:szCs w:val="20"/>
                <w:color w:val="auto"/>
              </w:rPr>
            </w:pPr>
            <w:r>
              <w:rPr>
                <w:rFonts w:ascii="Arial" w:cs="Arial" w:eastAsia="Arial" w:hAnsi="Arial"/>
                <w:sz w:val="16"/>
                <w:szCs w:val="16"/>
                <w:b w:val="1"/>
                <w:bCs w:val="1"/>
                <w:color w:val="FBFBFB"/>
              </w:rPr>
              <w:t>on Exercise</w:t>
            </w:r>
          </w:p>
        </w:tc>
        <w:tc>
          <w:tcPr>
            <w:tcW w:w="1680" w:type="dxa"/>
            <w:vAlign w:val="bottom"/>
            <w:tcBorders>
              <w:right w:val="single" w:sz="8" w:color="123054"/>
            </w:tcBorders>
            <w:shd w:val="clear" w:color="auto" w:fill="123054"/>
          </w:tcPr>
          <w:p>
            <w:pPr>
              <w:ind w:left="440"/>
              <w:spacing w:after="0" w:line="162" w:lineRule="exact"/>
              <w:rPr>
                <w:sz w:val="20"/>
                <w:szCs w:val="20"/>
                <w:color w:val="auto"/>
              </w:rPr>
            </w:pPr>
            <w:r>
              <w:rPr>
                <w:rFonts w:ascii="Arial" w:cs="Arial" w:eastAsia="Arial" w:hAnsi="Arial"/>
                <w:sz w:val="16"/>
                <w:szCs w:val="16"/>
                <w:b w:val="1"/>
                <w:bCs w:val="1"/>
                <w:color w:val="FBFBFB"/>
              </w:rPr>
              <w:t>on Exercise</w:t>
            </w:r>
          </w:p>
        </w:tc>
        <w:tc>
          <w:tcPr>
            <w:tcW w:w="16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on Vesting</w:t>
            </w:r>
          </w:p>
        </w:tc>
        <w:tc>
          <w:tcPr>
            <w:tcW w:w="164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on Vesting</w:t>
            </w:r>
          </w:p>
        </w:tc>
        <w:tc>
          <w:tcPr>
            <w:tcW w:w="0" w:type="dxa"/>
            <w:vAlign w:val="bottom"/>
          </w:tcPr>
          <w:p>
            <w:pPr>
              <w:spacing w:after="0"/>
              <w:rPr>
                <w:sz w:val="1"/>
                <w:szCs w:val="1"/>
                <w:color w:val="auto"/>
              </w:rPr>
            </w:pPr>
          </w:p>
        </w:tc>
      </w:tr>
      <w:tr>
        <w:trPr>
          <w:trHeight w:val="216"/>
        </w:trPr>
        <w:tc>
          <w:tcPr>
            <w:tcW w:w="1980" w:type="dxa"/>
            <w:vAlign w:val="bottom"/>
            <w:tcBorders>
              <w:right w:val="single" w:sz="8" w:color="123054"/>
            </w:tcBorders>
            <w:vMerge w:val="continue"/>
            <w:shd w:val="clear" w:color="auto" w:fill="123054"/>
          </w:tcPr>
          <w:p>
            <w:pPr>
              <w:spacing w:after="0"/>
              <w:rPr>
                <w:sz w:val="18"/>
                <w:szCs w:val="18"/>
                <w:color w:val="auto"/>
              </w:rPr>
            </w:pPr>
          </w:p>
        </w:tc>
        <w:tc>
          <w:tcPr>
            <w:tcW w:w="1660" w:type="dxa"/>
            <w:vAlign w:val="bottom"/>
            <w:tcBorders>
              <w:right w:val="single" w:sz="8" w:color="123054"/>
            </w:tcBorders>
            <w:shd w:val="clear" w:color="auto" w:fill="123054"/>
          </w:tcPr>
          <w:p>
            <w:pPr>
              <w:jc w:val="right"/>
              <w:ind w:right="659"/>
              <w:spacing w:after="0"/>
              <w:rPr>
                <w:sz w:val="20"/>
                <w:szCs w:val="20"/>
                <w:color w:val="auto"/>
              </w:rPr>
            </w:pPr>
            <w:r>
              <w:rPr>
                <w:rFonts w:ascii="Arial" w:cs="Arial" w:eastAsia="Arial" w:hAnsi="Arial"/>
                <w:sz w:val="16"/>
                <w:szCs w:val="16"/>
                <w:b w:val="1"/>
                <w:bCs w:val="1"/>
                <w:color w:val="FBFBFB"/>
              </w:rPr>
              <w:t>(#)</w:t>
            </w:r>
          </w:p>
        </w:tc>
        <w:tc>
          <w:tcPr>
            <w:tcW w:w="16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 (a)</w:t>
            </w:r>
          </w:p>
        </w:tc>
        <w:tc>
          <w:tcPr>
            <w:tcW w:w="16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w:t>
            </w:r>
          </w:p>
        </w:tc>
        <w:tc>
          <w:tcPr>
            <w:tcW w:w="1640" w:type="dxa"/>
            <w:vAlign w:val="bottom"/>
            <w:shd w:val="clear" w:color="auto" w:fill="123054"/>
          </w:tcPr>
          <w:p>
            <w:pPr>
              <w:ind w:left="600"/>
              <w:spacing w:after="0"/>
              <w:rPr>
                <w:sz w:val="20"/>
                <w:szCs w:val="20"/>
                <w:color w:val="auto"/>
              </w:rPr>
            </w:pPr>
            <w:r>
              <w:rPr>
                <w:rFonts w:ascii="Arial" w:cs="Arial" w:eastAsia="Arial" w:hAnsi="Arial"/>
                <w:sz w:val="16"/>
                <w:szCs w:val="16"/>
                <w:b w:val="1"/>
                <w:bCs w:val="1"/>
                <w:color w:val="FBFBFB"/>
              </w:rPr>
              <w:t>($) (b)</w:t>
            </w:r>
          </w:p>
        </w:tc>
        <w:tc>
          <w:tcPr>
            <w:tcW w:w="0" w:type="dxa"/>
            <w:vAlign w:val="bottom"/>
          </w:tcPr>
          <w:p>
            <w:pPr>
              <w:spacing w:after="0"/>
              <w:rPr>
                <w:sz w:val="1"/>
                <w:szCs w:val="1"/>
                <w:color w:val="auto"/>
              </w:rPr>
            </w:pPr>
          </w:p>
        </w:tc>
      </w:tr>
      <w:tr>
        <w:trPr>
          <w:trHeight w:val="249"/>
        </w:trPr>
        <w:tc>
          <w:tcPr>
            <w:tcW w:w="19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Richard F. Westenberger</w:t>
            </w:r>
          </w:p>
        </w:tc>
        <w:tc>
          <w:tcPr>
            <w:tcW w:w="16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8"/>
              </w:rPr>
              <w:t>19,604</w:t>
            </w:r>
          </w:p>
        </w:tc>
        <w:tc>
          <w:tcPr>
            <w:tcW w:w="1640" w:type="dxa"/>
            <w:vAlign w:val="bottom"/>
          </w:tcPr>
          <w:p>
            <w:pPr>
              <w:ind w:left="460"/>
              <w:spacing w:after="0"/>
              <w:rPr>
                <w:sz w:val="20"/>
                <w:szCs w:val="20"/>
                <w:color w:val="auto"/>
              </w:rPr>
            </w:pPr>
            <w:r>
              <w:rPr>
                <w:rFonts w:ascii="Arial" w:cs="Arial" w:eastAsia="Arial" w:hAnsi="Arial"/>
                <w:sz w:val="16"/>
                <w:szCs w:val="16"/>
                <w:color w:val="auto"/>
              </w:rPr>
              <w:t>$1,591,388</w:t>
            </w:r>
          </w:p>
        </w:tc>
        <w:tc>
          <w:tcPr>
            <w:tcW w:w="0" w:type="dxa"/>
            <w:vAlign w:val="bottom"/>
          </w:tcPr>
          <w:p>
            <w:pPr>
              <w:spacing w:after="0"/>
              <w:rPr>
                <w:sz w:val="1"/>
                <w:szCs w:val="1"/>
                <w:color w:val="auto"/>
              </w:rPr>
            </w:pPr>
          </w:p>
        </w:tc>
      </w:tr>
      <w:tr>
        <w:trPr>
          <w:trHeight w:val="264"/>
        </w:trPr>
        <w:tc>
          <w:tcPr>
            <w:tcW w:w="1980" w:type="dxa"/>
            <w:vAlign w:val="bottom"/>
            <w:tcBorders>
              <w:right w:val="single" w:sz="8" w:color="123054"/>
            </w:tcBorders>
            <w:shd w:val="clear" w:color="auto" w:fill="E4E4E4"/>
          </w:tcPr>
          <w:p>
            <w:pPr>
              <w:ind w:left="60"/>
              <w:spacing w:after="0"/>
              <w:rPr>
                <w:sz w:val="20"/>
                <w:szCs w:val="20"/>
                <w:color w:val="auto"/>
              </w:rPr>
            </w:pPr>
            <w:r>
              <w:rPr>
                <w:rFonts w:ascii="Arial" w:cs="Arial" w:eastAsia="Arial" w:hAnsi="Arial"/>
                <w:sz w:val="16"/>
                <w:szCs w:val="16"/>
                <w:color w:val="auto"/>
              </w:rPr>
              <w:t>Kendra D. Krugman</w:t>
            </w:r>
          </w:p>
        </w:tc>
        <w:tc>
          <w:tcPr>
            <w:tcW w:w="166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8"/>
              </w:rPr>
              <w:t>15,043</w:t>
            </w:r>
          </w:p>
        </w:tc>
        <w:tc>
          <w:tcPr>
            <w:tcW w:w="1640" w:type="dxa"/>
            <w:vAlign w:val="bottom"/>
            <w:shd w:val="clear" w:color="auto" w:fill="E4E4E4"/>
          </w:tcPr>
          <w:p>
            <w:pPr>
              <w:ind w:left="460"/>
              <w:spacing w:after="0"/>
              <w:rPr>
                <w:sz w:val="20"/>
                <w:szCs w:val="20"/>
                <w:color w:val="auto"/>
              </w:rPr>
            </w:pPr>
            <w:r>
              <w:rPr>
                <w:rFonts w:ascii="Arial" w:cs="Arial" w:eastAsia="Arial" w:hAnsi="Arial"/>
                <w:sz w:val="16"/>
                <w:szCs w:val="16"/>
                <w:color w:val="auto"/>
              </w:rPr>
              <w:t>$1,221,402</w:t>
            </w:r>
          </w:p>
        </w:tc>
        <w:tc>
          <w:tcPr>
            <w:tcW w:w="0" w:type="dxa"/>
            <w:vAlign w:val="bottom"/>
          </w:tcPr>
          <w:p>
            <w:pPr>
              <w:spacing w:after="0"/>
              <w:rPr>
                <w:sz w:val="1"/>
                <w:szCs w:val="1"/>
                <w:color w:val="auto"/>
              </w:rPr>
            </w:pPr>
          </w:p>
        </w:tc>
      </w:tr>
      <w:tr>
        <w:trPr>
          <w:trHeight w:val="249"/>
        </w:trPr>
        <w:tc>
          <w:tcPr>
            <w:tcW w:w="19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Allison M. Peterson</w:t>
            </w:r>
          </w:p>
        </w:tc>
        <w:tc>
          <w:tcPr>
            <w:tcW w:w="16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980" w:type="dxa"/>
            <w:vAlign w:val="bottom"/>
            <w:tcBorders>
              <w:right w:val="single" w:sz="8" w:color="123054"/>
            </w:tcBorders>
            <w:shd w:val="clear" w:color="auto" w:fill="E4E4E4"/>
          </w:tcPr>
          <w:p>
            <w:pPr>
              <w:ind w:left="60"/>
              <w:spacing w:after="0"/>
              <w:rPr>
                <w:sz w:val="20"/>
                <w:szCs w:val="20"/>
                <w:color w:val="auto"/>
              </w:rPr>
            </w:pPr>
            <w:r>
              <w:rPr>
                <w:rFonts w:ascii="Arial" w:cs="Arial" w:eastAsia="Arial" w:hAnsi="Arial"/>
                <w:sz w:val="16"/>
                <w:szCs w:val="16"/>
                <w:color w:val="auto"/>
              </w:rPr>
              <w:t>Raghu R. Sagi</w:t>
            </w:r>
          </w:p>
        </w:tc>
        <w:tc>
          <w:tcPr>
            <w:tcW w:w="166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E4E4E4"/>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80" w:type="dxa"/>
            <w:vAlign w:val="bottom"/>
            <w:tcBorders>
              <w:right w:val="single" w:sz="8" w:color="123054"/>
            </w:tcBorders>
          </w:tcPr>
          <w:p>
            <w:pPr>
              <w:ind w:left="60"/>
              <w:spacing w:after="0"/>
              <w:rPr>
                <w:sz w:val="20"/>
                <w:szCs w:val="20"/>
                <w:color w:val="auto"/>
              </w:rPr>
            </w:pPr>
            <w:r>
              <w:rPr>
                <w:rFonts w:ascii="Arial" w:cs="Arial" w:eastAsia="Arial" w:hAnsi="Arial"/>
                <w:sz w:val="16"/>
                <w:szCs w:val="16"/>
                <w:color w:val="auto"/>
              </w:rPr>
              <w:t>Michael D. Casey</w:t>
            </w:r>
          </w:p>
        </w:tc>
        <w:tc>
          <w:tcPr>
            <w:tcW w:w="16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8"/>
              </w:rPr>
              <w:t>43,259</w:t>
            </w:r>
          </w:p>
        </w:tc>
        <w:tc>
          <w:tcPr>
            <w:tcW w:w="1640" w:type="dxa"/>
            <w:vAlign w:val="bottom"/>
          </w:tcPr>
          <w:p>
            <w:pPr>
              <w:ind w:left="460"/>
              <w:spacing w:after="0"/>
              <w:rPr>
                <w:sz w:val="20"/>
                <w:szCs w:val="20"/>
                <w:color w:val="auto"/>
              </w:rPr>
            </w:pPr>
            <w:r>
              <w:rPr>
                <w:rFonts w:ascii="Arial" w:cs="Arial" w:eastAsia="Arial" w:hAnsi="Arial"/>
                <w:sz w:val="16"/>
                <w:szCs w:val="16"/>
                <w:color w:val="auto"/>
              </w:rPr>
              <w:t>$3,511,595</w:t>
            </w:r>
          </w:p>
        </w:tc>
        <w:tc>
          <w:tcPr>
            <w:tcW w:w="0" w:type="dxa"/>
            <w:vAlign w:val="bottom"/>
          </w:tcPr>
          <w:p>
            <w:pPr>
              <w:spacing w:after="0"/>
              <w:rPr>
                <w:sz w:val="1"/>
                <w:szCs w:val="1"/>
                <w:color w:val="auto"/>
              </w:rPr>
            </w:pPr>
          </w:p>
        </w:tc>
      </w:tr>
      <w:tr>
        <w:trPr>
          <w:trHeight w:val="258"/>
        </w:trPr>
        <w:tc>
          <w:tcPr>
            <w:tcW w:w="1980" w:type="dxa"/>
            <w:vAlign w:val="bottom"/>
            <w:tcBorders>
              <w:bottom w:val="single" w:sz="8" w:color="123054"/>
              <w:right w:val="single" w:sz="8" w:color="123054"/>
            </w:tcBorders>
            <w:shd w:val="clear" w:color="auto" w:fill="DBDBDB"/>
          </w:tcPr>
          <w:p>
            <w:pPr>
              <w:ind w:left="60"/>
              <w:spacing w:after="0"/>
              <w:rPr>
                <w:sz w:val="20"/>
                <w:szCs w:val="20"/>
                <w:color w:val="auto"/>
              </w:rPr>
            </w:pPr>
            <w:r>
              <w:rPr>
                <w:rFonts w:ascii="Arial" w:cs="Arial" w:eastAsia="Arial" w:hAnsi="Arial"/>
                <w:sz w:val="16"/>
                <w:szCs w:val="16"/>
                <w:color w:val="auto"/>
              </w:rPr>
              <w:t>Brian J. Lynch</w:t>
            </w:r>
          </w:p>
        </w:tc>
        <w:tc>
          <w:tcPr>
            <w:tcW w:w="166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6"/>
              </w:rPr>
              <w:t>$—</w:t>
            </w:r>
          </w:p>
        </w:tc>
        <w:tc>
          <w:tcPr>
            <w:tcW w:w="1640" w:type="dxa"/>
            <w:vAlign w:val="bottom"/>
            <w:tcBorders>
              <w:bottom w:val="single" w:sz="8" w:color="123054"/>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8"/>
              </w:rPr>
              <w:t>25,012</w:t>
            </w:r>
          </w:p>
        </w:tc>
        <w:tc>
          <w:tcPr>
            <w:tcW w:w="1640" w:type="dxa"/>
            <w:vAlign w:val="bottom"/>
            <w:tcBorders>
              <w:bottom w:val="single" w:sz="8" w:color="123054"/>
            </w:tcBorders>
            <w:shd w:val="clear" w:color="auto" w:fill="DBDBDB"/>
          </w:tcPr>
          <w:p>
            <w:pPr>
              <w:ind w:left="460"/>
              <w:spacing w:after="0"/>
              <w:rPr>
                <w:sz w:val="20"/>
                <w:szCs w:val="20"/>
                <w:color w:val="auto"/>
              </w:rPr>
            </w:pPr>
            <w:r>
              <w:rPr>
                <w:rFonts w:ascii="Arial" w:cs="Arial" w:eastAsia="Arial" w:hAnsi="Arial"/>
                <w:sz w:val="16"/>
                <w:szCs w:val="16"/>
                <w:color w:val="auto"/>
              </w:rPr>
              <w:t>$2,029,844</w:t>
            </w:r>
          </w:p>
        </w:tc>
        <w:tc>
          <w:tcPr>
            <w:tcW w:w="0" w:type="dxa"/>
            <w:vAlign w:val="bottom"/>
          </w:tcPr>
          <w:p>
            <w:pPr>
              <w:spacing w:after="0"/>
              <w:rPr>
                <w:sz w:val="1"/>
                <w:szCs w:val="1"/>
                <w:color w:val="auto"/>
              </w:rPr>
            </w:pPr>
          </w:p>
        </w:tc>
      </w:tr>
    </w:tbl>
    <w:p>
      <w:pPr>
        <w:sectPr>
          <w:pgSz w:w="11900" w:h="16838" w:orient="portrait"/>
          <w:cols w:equalWidth="0" w:num="1">
            <w:col w:w="9220"/>
          </w:cols>
          <w:pgMar w:left="1440" w:top="100" w:right="1239" w:bottom="0" w:gutter="0" w:footer="0" w:header="0"/>
        </w:sectPr>
      </w:pPr>
    </w:p>
    <w:bookmarkStart w:id="53" w:name="page54"/>
    <w:bookmarkEnd w:id="53"/>
    <w:p>
      <w:pPr>
        <w:spacing w:after="0" w:line="63" w:lineRule="exact"/>
        <w:rPr>
          <w:sz w:val="20"/>
          <w:szCs w:val="20"/>
          <w:color w:val="auto"/>
        </w:rPr>
      </w:pPr>
    </w:p>
    <w:p>
      <w:pPr>
        <w:ind w:left="620" w:hanging="387"/>
        <w:spacing w:after="0"/>
        <w:tabs>
          <w:tab w:leader="none" w:pos="620" w:val="left"/>
        </w:tabs>
        <w:numPr>
          <w:ilvl w:val="0"/>
          <w:numId w:val="64"/>
        </w:numPr>
        <w:rPr>
          <w:rFonts w:ascii="Arial" w:cs="Arial" w:eastAsia="Arial" w:hAnsi="Arial"/>
          <w:sz w:val="9"/>
          <w:szCs w:val="9"/>
          <w:color w:val="auto"/>
        </w:rPr>
      </w:pPr>
      <w:r>
        <w:rPr>
          <w:rFonts w:ascii="Arial" w:cs="Arial" w:eastAsia="Arial" w:hAnsi="Arial"/>
          <w:sz w:val="9"/>
          <w:szCs w:val="9"/>
          <w:color w:val="auto"/>
        </w:rPr>
        <w:t>Aggregatetheunderlyingdollarsecuritiesamount atwasthecalculatedtimeofexercisebymultiplyingandthetheexercisenumberpriceofsharesofthe stockacquiredoptionsbythe. difference between the market price of</w:t>
      </w:r>
    </w:p>
    <w:p>
      <w:pPr>
        <w:spacing w:after="0" w:line="99" w:lineRule="exact"/>
        <w:rPr>
          <w:rFonts w:ascii="Arial" w:cs="Arial" w:eastAsia="Arial" w:hAnsi="Arial"/>
          <w:sz w:val="9"/>
          <w:szCs w:val="9"/>
          <w:color w:val="auto"/>
        </w:rPr>
      </w:pPr>
    </w:p>
    <w:p>
      <w:pPr>
        <w:ind w:left="620" w:right="240" w:hanging="387"/>
        <w:spacing w:after="0" w:line="263" w:lineRule="auto"/>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Aggregate dollar amount was calculated by multiplying the number of shares acquired on vesting by the closing market price of the Company’s common stock as traded on the NYSE on the date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-338455</wp:posOffset>
            </wp:positionV>
            <wp:extent cx="6810375" cy="51968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519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236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523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NONQUALIFIED DEFERRED COMPENSATION</w:t>
      </w:r>
    </w:p>
    <w:p>
      <w:pPr>
        <w:spacing w:after="0" w:line="181" w:lineRule="exact"/>
        <w:rPr>
          <w:sz w:val="20"/>
          <w:szCs w:val="20"/>
          <w:color w:val="auto"/>
        </w:rPr>
      </w:pPr>
    </w:p>
    <w:p>
      <w:pPr>
        <w:ind w:left="140" w:right="220"/>
        <w:spacing w:after="0" w:line="252" w:lineRule="auto"/>
        <w:rPr>
          <w:sz w:val="20"/>
          <w:szCs w:val="20"/>
          <w:color w:val="auto"/>
        </w:rPr>
      </w:pPr>
      <w:r>
        <w:rPr>
          <w:rFonts w:ascii="Arial" w:cs="Arial" w:eastAsia="Arial" w:hAnsi="Arial"/>
          <w:sz w:val="20"/>
          <w:szCs w:val="20"/>
          <w:color w:val="auto"/>
        </w:rPr>
        <w:t>Eligible employees, including our NEOs, may elect annually to defer a portion of their base salary and annual cash incentive compensation under The William Carter Company Deferred Compensation Plan (the “Deferred Compensation Plan”). Under this plan, participants can defer up to 75% of their salary and/or 90% of their cash bonus. At the option of the participant, these amounts may be deferred to a specific date at least two years from the last day of the year in which deferrals are credited into the participant’s account. Interest on deferred amounts is credited to the participant’s account based upon the earnings and losses of one or more of the investments selected by the participant from the various investment alternatives available under the Deferred Compensation Plan.</w:t>
      </w:r>
    </w:p>
    <w:p>
      <w:pPr>
        <w:spacing w:after="0" w:line="176" w:lineRule="exact"/>
        <w:rPr>
          <w:sz w:val="20"/>
          <w:szCs w:val="20"/>
          <w:color w:val="auto"/>
        </w:rPr>
      </w:pPr>
    </w:p>
    <w:p>
      <w:pPr>
        <w:ind w:left="140"/>
        <w:spacing w:after="0" w:line="249" w:lineRule="auto"/>
        <w:rPr>
          <w:sz w:val="20"/>
          <w:szCs w:val="20"/>
          <w:color w:val="auto"/>
        </w:rPr>
      </w:pPr>
      <w:r>
        <w:rPr>
          <w:rFonts w:ascii="Arial" w:cs="Arial" w:eastAsia="Arial" w:hAnsi="Arial"/>
          <w:sz w:val="20"/>
          <w:szCs w:val="20"/>
          <w:color w:val="auto"/>
        </w:rPr>
        <w:t>At the time of deferral, a participant must indicate whether he or she wishes to receive the amount deferred in either a lump sum or in substantially equal annual installments over a period of up to five years for “Specified Date” accounts or up to ten years for “Retirement” accounts. If a participant who is an employee of the Company separates from service prior to the elected commencement date for distributions and has not attained age 62, or age 55 and completed ten years of service, then the deferred amounts will be distributed as a lump sum, regardless of the method of distribution originally elected by the participant. If the participant in question has attained age 62, or age 55 with ten years of service and has previously elected to do so on a timely basis, then the participant may receive the amounts in substantially equal annual installments over a period of up to ten years. There is a six-month delay in the commencement of distributions for all participants, if triggered by the participant’s termination or retirement. Changes to deferral elections with respect to previously deferred amounts are permitted only under the limited terms and conditions specified in the Code and early withdrawals from deferred accounts are permitted only in extreme cases, such as unforeseen financial hardship resulting from an illness or accident of the participant that is demonstrated to the Company’s Retirement Committee.</w:t>
      </w:r>
    </w:p>
    <w:p>
      <w:pPr>
        <w:spacing w:after="0" w:line="367" w:lineRule="exact"/>
        <w:rPr>
          <w:sz w:val="20"/>
          <w:szCs w:val="20"/>
          <w:color w:val="auto"/>
        </w:rPr>
      </w:pPr>
    </w:p>
    <w:tbl>
      <w:tblPr>
        <w:tblLayout w:type="fixed"/>
        <w:tblInd w:w="1760" w:type="dxa"/>
        <w:tblCellMar>
          <w:top w:w="0" w:type="dxa"/>
          <w:left w:w="0" w:type="dxa"/>
          <w:bottom w:w="0" w:type="dxa"/>
          <w:right w:w="0" w:type="dxa"/>
        </w:tblCellMar>
      </w:tblPr>
      <w:tr>
        <w:trPr>
          <w:trHeight w:val="172"/>
        </w:trPr>
        <w:tc>
          <w:tcPr>
            <w:tcW w:w="1340" w:type="dxa"/>
            <w:vAlign w:val="bottom"/>
            <w:vMerge w:val="restart"/>
          </w:tcPr>
          <w:p>
            <w:pPr>
              <w:jc w:val="center"/>
              <w:ind w:right="317"/>
              <w:spacing w:after="0"/>
              <w:rPr>
                <w:sz w:val="20"/>
                <w:szCs w:val="20"/>
                <w:color w:val="auto"/>
              </w:rPr>
            </w:pPr>
            <w:r>
              <w:rPr>
                <w:rFonts w:ascii="Arial" w:cs="Arial" w:eastAsia="Arial" w:hAnsi="Arial"/>
                <w:sz w:val="13"/>
                <w:szCs w:val="13"/>
                <w:b w:val="1"/>
                <w:bCs w:val="1"/>
                <w:color w:val="FBFBFB"/>
                <w:w w:val="97"/>
              </w:rPr>
              <w:t>Employee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FBFBFB"/>
                <w:w w:val="96"/>
              </w:rPr>
              <w:t>Aggregate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FBFBFB"/>
              </w:rPr>
              <w:t>Aggregate</w:t>
            </w: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1360" w:type="dxa"/>
            <w:vAlign w:val="bottom"/>
          </w:tcPr>
          <w:p>
            <w:pPr>
              <w:ind w:left="360"/>
              <w:spacing w:after="0" w:line="129" w:lineRule="exact"/>
              <w:rPr>
                <w:sz w:val="20"/>
                <w:szCs w:val="20"/>
                <w:color w:val="auto"/>
              </w:rPr>
            </w:pPr>
            <w:r>
              <w:rPr>
                <w:rFonts w:ascii="Arial" w:cs="Arial" w:eastAsia="Arial" w:hAnsi="Arial"/>
                <w:sz w:val="13"/>
                <w:szCs w:val="13"/>
                <w:b w:val="1"/>
                <w:bCs w:val="1"/>
                <w:color w:val="FBFBFB"/>
              </w:rPr>
              <w:t>Company</w:t>
            </w:r>
          </w:p>
        </w:tc>
        <w:tc>
          <w:tcPr>
            <w:tcW w:w="1460" w:type="dxa"/>
            <w:vAlign w:val="bottom"/>
          </w:tcPr>
          <w:p>
            <w:pPr>
              <w:ind w:left="440"/>
              <w:spacing w:after="0" w:line="129" w:lineRule="exact"/>
              <w:rPr>
                <w:sz w:val="20"/>
                <w:szCs w:val="20"/>
                <w:color w:val="auto"/>
              </w:rPr>
            </w:pPr>
            <w:r>
              <w:rPr>
                <w:rFonts w:ascii="Arial" w:cs="Arial" w:eastAsia="Arial" w:hAnsi="Arial"/>
                <w:sz w:val="13"/>
                <w:szCs w:val="13"/>
                <w:b w:val="1"/>
                <w:bCs w:val="1"/>
                <w:color w:val="FBFBFB"/>
              </w:rPr>
              <w:t>Aggregate</w:t>
            </w:r>
          </w:p>
        </w:tc>
        <w:tc>
          <w:tcPr>
            <w:tcW w:w="1500" w:type="dxa"/>
            <w:vAlign w:val="bottom"/>
          </w:tcPr>
          <w:p>
            <w:pPr>
              <w:jc w:val="center"/>
              <w:spacing w:after="0" w:line="129" w:lineRule="exact"/>
              <w:rPr>
                <w:sz w:val="20"/>
                <w:szCs w:val="20"/>
                <w:color w:val="auto"/>
              </w:rPr>
            </w:pPr>
            <w:r>
              <w:rPr>
                <w:rFonts w:ascii="Arial" w:cs="Arial" w:eastAsia="Arial" w:hAnsi="Arial"/>
                <w:sz w:val="13"/>
                <w:szCs w:val="13"/>
                <w:b w:val="1"/>
                <w:bCs w:val="1"/>
                <w:color w:val="FBFBFB"/>
                <w:w w:val="96"/>
              </w:rPr>
              <w:t>Withdrawals</w:t>
            </w:r>
          </w:p>
        </w:tc>
        <w:tc>
          <w:tcPr>
            <w:tcW w:w="1000" w:type="dxa"/>
            <w:vAlign w:val="bottom"/>
          </w:tcPr>
          <w:p>
            <w:pPr>
              <w:jc w:val="right"/>
              <w:spacing w:after="0" w:line="129" w:lineRule="exact"/>
              <w:rPr>
                <w:sz w:val="20"/>
                <w:szCs w:val="20"/>
                <w:color w:val="auto"/>
              </w:rPr>
            </w:pPr>
            <w:r>
              <w:rPr>
                <w:rFonts w:ascii="Arial" w:cs="Arial" w:eastAsia="Arial" w:hAnsi="Arial"/>
                <w:sz w:val="13"/>
                <w:szCs w:val="13"/>
                <w:b w:val="1"/>
                <w:bCs w:val="1"/>
                <w:color w:val="FBFBFB"/>
              </w:rPr>
              <w:t>Balance at</w:t>
            </w:r>
          </w:p>
        </w:tc>
        <w:tc>
          <w:tcPr>
            <w:tcW w:w="0" w:type="dxa"/>
            <w:vAlign w:val="bottom"/>
          </w:tcPr>
          <w:p>
            <w:pPr>
              <w:spacing w:after="0"/>
              <w:rPr>
                <w:sz w:val="1"/>
                <w:szCs w:val="1"/>
                <w:color w:val="auto"/>
              </w:rPr>
            </w:pPr>
          </w:p>
        </w:tc>
      </w:tr>
      <w:tr>
        <w:trPr>
          <w:trHeight w:val="172"/>
        </w:trPr>
        <w:tc>
          <w:tcPr>
            <w:tcW w:w="1340" w:type="dxa"/>
            <w:vAlign w:val="bottom"/>
          </w:tcPr>
          <w:p>
            <w:pPr>
              <w:jc w:val="center"/>
              <w:ind w:right="297"/>
              <w:spacing w:after="0"/>
              <w:rPr>
                <w:sz w:val="20"/>
                <w:szCs w:val="20"/>
                <w:color w:val="auto"/>
              </w:rPr>
            </w:pPr>
            <w:r>
              <w:rPr>
                <w:rFonts w:ascii="Arial" w:cs="Arial" w:eastAsia="Arial" w:hAnsi="Arial"/>
                <w:sz w:val="13"/>
                <w:szCs w:val="13"/>
                <w:b w:val="1"/>
                <w:bCs w:val="1"/>
                <w:color w:val="FBFBFB"/>
                <w:w w:val="97"/>
              </w:rPr>
              <w:t>Contributions in</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1" w:orient="portrait"/>
          <w:cols w:equalWidth="0" w:num="1">
            <w:col w:w="9220"/>
          </w:cols>
          <w:pgMar w:left="1440" w:top="118" w:right="1239" w:bottom="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619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361950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9"/>
        </w:trPr>
        <w:tc>
          <w:tcPr>
            <w:tcW w:w="1560" w:type="dxa"/>
            <w:vAlign w:val="bottom"/>
            <w:vMerge w:val="restart"/>
            <w:shd w:val="clear" w:color="auto" w:fill="123054"/>
          </w:tcPr>
          <w:p>
            <w:pPr>
              <w:ind w:left="200"/>
              <w:spacing w:after="0"/>
              <w:rPr>
                <w:sz w:val="20"/>
                <w:szCs w:val="20"/>
                <w:color w:val="auto"/>
              </w:rPr>
            </w:pPr>
            <w:r>
              <w:rPr>
                <w:rFonts w:ascii="Arial" w:cs="Arial" w:eastAsia="Arial" w:hAnsi="Arial"/>
                <w:sz w:val="13"/>
                <w:szCs w:val="13"/>
                <w:b w:val="1"/>
                <w:bCs w:val="1"/>
                <w:color w:val="FBFBFB"/>
              </w:rPr>
              <w:t>Name</w:t>
            </w:r>
          </w:p>
        </w:tc>
        <w:tc>
          <w:tcPr>
            <w:tcW w:w="1240" w:type="dxa"/>
            <w:vAlign w:val="bottom"/>
            <w:shd w:val="clear" w:color="auto" w:fill="123054"/>
          </w:tcPr>
          <w:p>
            <w:pPr>
              <w:jc w:val="right"/>
              <w:ind w:right="497"/>
              <w:spacing w:after="0"/>
              <w:rPr>
                <w:sz w:val="20"/>
                <w:szCs w:val="20"/>
                <w:color w:val="auto"/>
              </w:rPr>
            </w:pPr>
            <w:r>
              <w:rPr>
                <w:rFonts w:ascii="Arial" w:cs="Arial" w:eastAsia="Arial" w:hAnsi="Arial"/>
                <w:sz w:val="13"/>
                <w:szCs w:val="13"/>
                <w:b w:val="1"/>
                <w:bCs w:val="1"/>
                <w:color w:val="FBFBFB"/>
              </w:rPr>
              <w:t>2024</w:t>
            </w:r>
          </w:p>
        </w:tc>
        <w:tc>
          <w:tcPr>
            <w:tcW w:w="1600" w:type="dxa"/>
            <w:vAlign w:val="bottom"/>
            <w:shd w:val="clear" w:color="auto" w:fill="123054"/>
          </w:tcPr>
          <w:p>
            <w:pPr>
              <w:jc w:val="center"/>
              <w:spacing w:after="0"/>
              <w:rPr>
                <w:sz w:val="20"/>
                <w:szCs w:val="20"/>
                <w:color w:val="auto"/>
              </w:rPr>
            </w:pPr>
            <w:r>
              <w:rPr>
                <w:rFonts w:ascii="Arial" w:cs="Arial" w:eastAsia="Arial" w:hAnsi="Arial"/>
                <w:sz w:val="13"/>
                <w:szCs w:val="13"/>
                <w:b w:val="1"/>
                <w:bCs w:val="1"/>
                <w:color w:val="FBFBFB"/>
                <w:w w:val="98"/>
              </w:rPr>
              <w:t>Contributions</w:t>
            </w:r>
          </w:p>
        </w:tc>
        <w:tc>
          <w:tcPr>
            <w:tcW w:w="1420" w:type="dxa"/>
            <w:vAlign w:val="bottom"/>
            <w:shd w:val="clear" w:color="auto" w:fill="123054"/>
          </w:tcPr>
          <w:p>
            <w:pPr>
              <w:jc w:val="center"/>
              <w:spacing w:after="0"/>
              <w:rPr>
                <w:sz w:val="20"/>
                <w:szCs w:val="20"/>
                <w:color w:val="auto"/>
              </w:rPr>
            </w:pPr>
            <w:r>
              <w:rPr>
                <w:rFonts w:ascii="Arial" w:cs="Arial" w:eastAsia="Arial" w:hAnsi="Arial"/>
                <w:sz w:val="13"/>
                <w:szCs w:val="13"/>
                <w:b w:val="1"/>
                <w:bCs w:val="1"/>
                <w:color w:val="FBFBFB"/>
                <w:w w:val="95"/>
              </w:rPr>
              <w:t>Earnings in</w:t>
            </w:r>
          </w:p>
        </w:tc>
        <w:tc>
          <w:tcPr>
            <w:tcW w:w="1480" w:type="dxa"/>
            <w:vAlign w:val="bottom"/>
            <w:shd w:val="clear" w:color="auto" w:fill="123054"/>
          </w:tcPr>
          <w:p>
            <w:pPr>
              <w:ind w:left="660"/>
              <w:spacing w:after="0"/>
              <w:rPr>
                <w:sz w:val="20"/>
                <w:szCs w:val="20"/>
                <w:color w:val="auto"/>
              </w:rPr>
            </w:pPr>
            <w:r>
              <w:rPr>
                <w:rFonts w:ascii="Arial" w:cs="Arial" w:eastAsia="Arial" w:hAnsi="Arial"/>
                <w:sz w:val="13"/>
                <w:szCs w:val="13"/>
                <w:b w:val="1"/>
                <w:bCs w:val="1"/>
                <w:color w:val="FBFBFB"/>
              </w:rPr>
              <w:t>or</w:t>
            </w:r>
          </w:p>
        </w:tc>
        <w:tc>
          <w:tcPr>
            <w:tcW w:w="1340" w:type="dxa"/>
            <w:vAlign w:val="bottom"/>
            <w:shd w:val="clear" w:color="auto" w:fill="123054"/>
          </w:tcPr>
          <w:p>
            <w:pPr>
              <w:jc w:val="center"/>
              <w:spacing w:after="0"/>
              <w:rPr>
                <w:sz w:val="20"/>
                <w:szCs w:val="20"/>
                <w:color w:val="auto"/>
              </w:rPr>
            </w:pPr>
            <w:r>
              <w:rPr>
                <w:rFonts w:ascii="Arial" w:cs="Arial" w:eastAsia="Arial" w:hAnsi="Arial"/>
                <w:sz w:val="13"/>
                <w:szCs w:val="13"/>
                <w:b w:val="1"/>
                <w:bCs w:val="1"/>
                <w:color w:val="FBFBFB"/>
                <w:w w:val="95"/>
              </w:rPr>
              <w:t>End of2024</w:t>
            </w:r>
          </w:p>
        </w:tc>
        <w:tc>
          <w:tcPr>
            <w:tcW w:w="0" w:type="dxa"/>
            <w:vAlign w:val="bottom"/>
          </w:tcPr>
          <w:p>
            <w:pPr>
              <w:spacing w:after="0"/>
              <w:rPr>
                <w:sz w:val="1"/>
                <w:szCs w:val="1"/>
                <w:color w:val="auto"/>
              </w:rPr>
            </w:pPr>
          </w:p>
        </w:tc>
      </w:tr>
      <w:tr>
        <w:trPr>
          <w:trHeight w:val="131"/>
        </w:trPr>
        <w:tc>
          <w:tcPr>
            <w:tcW w:w="1560" w:type="dxa"/>
            <w:vAlign w:val="bottom"/>
            <w:vMerge w:val="continue"/>
            <w:shd w:val="clear" w:color="auto" w:fill="123054"/>
          </w:tcPr>
          <w:p>
            <w:pPr>
              <w:spacing w:after="0"/>
              <w:rPr>
                <w:sz w:val="11"/>
                <w:szCs w:val="11"/>
                <w:color w:val="auto"/>
              </w:rPr>
            </w:pPr>
          </w:p>
        </w:tc>
        <w:tc>
          <w:tcPr>
            <w:tcW w:w="1240" w:type="dxa"/>
            <w:vAlign w:val="bottom"/>
            <w:shd w:val="clear" w:color="auto" w:fill="123054"/>
          </w:tcPr>
          <w:p>
            <w:pPr>
              <w:jc w:val="center"/>
              <w:ind w:right="97"/>
              <w:spacing w:after="0" w:line="131" w:lineRule="exact"/>
              <w:rPr>
                <w:sz w:val="20"/>
                <w:szCs w:val="20"/>
                <w:color w:val="auto"/>
              </w:rPr>
            </w:pPr>
            <w:r>
              <w:rPr>
                <w:rFonts w:ascii="Arial" w:cs="Arial" w:eastAsia="Arial" w:hAnsi="Arial"/>
                <w:sz w:val="13"/>
                <w:szCs w:val="13"/>
                <w:b w:val="1"/>
                <w:bCs w:val="1"/>
                <w:color w:val="FBFBFB"/>
              </w:rPr>
              <w:t>(a)</w:t>
            </w:r>
          </w:p>
        </w:tc>
        <w:tc>
          <w:tcPr>
            <w:tcW w:w="1600" w:type="dxa"/>
            <w:vAlign w:val="bottom"/>
            <w:shd w:val="clear" w:color="auto" w:fill="123054"/>
          </w:tcPr>
          <w:p>
            <w:pPr>
              <w:jc w:val="center"/>
              <w:spacing w:after="0" w:line="131" w:lineRule="exact"/>
              <w:rPr>
                <w:sz w:val="20"/>
                <w:szCs w:val="20"/>
                <w:color w:val="auto"/>
              </w:rPr>
            </w:pPr>
            <w:r>
              <w:rPr>
                <w:rFonts w:ascii="Arial" w:cs="Arial" w:eastAsia="Arial" w:hAnsi="Arial"/>
                <w:sz w:val="13"/>
                <w:szCs w:val="13"/>
                <w:b w:val="1"/>
                <w:bCs w:val="1"/>
                <w:color w:val="FBFBFB"/>
                <w:w w:val="90"/>
              </w:rPr>
              <w:t>in 2024</w:t>
            </w:r>
          </w:p>
        </w:tc>
        <w:tc>
          <w:tcPr>
            <w:tcW w:w="1420" w:type="dxa"/>
            <w:vAlign w:val="bottom"/>
            <w:shd w:val="clear" w:color="auto" w:fill="123054"/>
          </w:tcPr>
          <w:p>
            <w:pPr>
              <w:ind w:left="440"/>
              <w:spacing w:after="0" w:line="131" w:lineRule="exact"/>
              <w:rPr>
                <w:sz w:val="20"/>
                <w:szCs w:val="20"/>
                <w:color w:val="auto"/>
              </w:rPr>
            </w:pPr>
            <w:r>
              <w:rPr>
                <w:rFonts w:ascii="Arial" w:cs="Arial" w:eastAsia="Arial" w:hAnsi="Arial"/>
                <w:sz w:val="13"/>
                <w:szCs w:val="13"/>
                <w:b w:val="1"/>
                <w:bCs w:val="1"/>
                <w:color w:val="FBFBFB"/>
              </w:rPr>
              <w:t>2024 (b)</w:t>
            </w:r>
          </w:p>
        </w:tc>
        <w:tc>
          <w:tcPr>
            <w:tcW w:w="1480" w:type="dxa"/>
            <w:vAlign w:val="bottom"/>
            <w:shd w:val="clear" w:color="auto" w:fill="123054"/>
          </w:tcPr>
          <w:p>
            <w:pPr>
              <w:ind w:left="360"/>
              <w:spacing w:after="0" w:line="131" w:lineRule="exact"/>
              <w:rPr>
                <w:sz w:val="20"/>
                <w:szCs w:val="20"/>
                <w:color w:val="auto"/>
              </w:rPr>
            </w:pPr>
            <w:r>
              <w:rPr>
                <w:rFonts w:ascii="Arial" w:cs="Arial" w:eastAsia="Arial" w:hAnsi="Arial"/>
                <w:sz w:val="13"/>
                <w:szCs w:val="13"/>
                <w:b w:val="1"/>
                <w:bCs w:val="1"/>
                <w:color w:val="FBFBFB"/>
              </w:rPr>
              <w:t>Distributions</w:t>
            </w:r>
          </w:p>
        </w:tc>
        <w:tc>
          <w:tcPr>
            <w:tcW w:w="1340" w:type="dxa"/>
            <w:vAlign w:val="bottom"/>
            <w:shd w:val="clear" w:color="auto" w:fill="123054"/>
          </w:tcPr>
          <w:p>
            <w:pPr>
              <w:jc w:val="center"/>
              <w:spacing w:after="0" w:line="131" w:lineRule="exact"/>
              <w:rPr>
                <w:sz w:val="20"/>
                <w:szCs w:val="20"/>
                <w:color w:val="auto"/>
              </w:rPr>
            </w:pPr>
            <w:r>
              <w:rPr>
                <w:rFonts w:ascii="Arial" w:cs="Arial" w:eastAsia="Arial" w:hAnsi="Arial"/>
                <w:sz w:val="13"/>
                <w:szCs w:val="13"/>
                <w:b w:val="1"/>
                <w:bCs w:val="1"/>
                <w:color w:val="FBFBFB"/>
              </w:rPr>
              <w:t>(c)</w:t>
            </w:r>
          </w:p>
        </w:tc>
        <w:tc>
          <w:tcPr>
            <w:tcW w:w="0" w:type="dxa"/>
            <w:vAlign w:val="bottom"/>
          </w:tcPr>
          <w:p>
            <w:pPr>
              <w:spacing w:after="0"/>
              <w:rPr>
                <w:sz w:val="1"/>
                <w:szCs w:val="1"/>
                <w:color w:val="auto"/>
              </w:rPr>
            </w:pPr>
          </w:p>
        </w:tc>
      </w:tr>
      <w:tr>
        <w:trPr>
          <w:trHeight w:val="148"/>
        </w:trPr>
        <w:tc>
          <w:tcPr>
            <w:tcW w:w="1560" w:type="dxa"/>
            <w:vAlign w:val="bottom"/>
            <w:shd w:val="clear" w:color="auto" w:fill="123054"/>
          </w:tcPr>
          <w:p>
            <w:pPr>
              <w:ind w:left="140"/>
              <w:spacing w:after="0"/>
              <w:rPr>
                <w:sz w:val="20"/>
                <w:szCs w:val="20"/>
                <w:color w:val="auto"/>
              </w:rPr>
            </w:pPr>
            <w:r>
              <w:rPr>
                <w:rFonts w:ascii="Arial" w:cs="Arial" w:eastAsia="Arial" w:hAnsi="Arial"/>
                <w:sz w:val="13"/>
                <w:szCs w:val="13"/>
                <w:color w:val="auto"/>
              </w:rPr>
              <w:t>Richard F.</w:t>
            </w:r>
          </w:p>
        </w:tc>
        <w:tc>
          <w:tcPr>
            <w:tcW w:w="1240" w:type="dxa"/>
            <w:vAlign w:val="bottom"/>
            <w:shd w:val="clear" w:color="auto" w:fill="123054"/>
          </w:tcPr>
          <w:p>
            <w:pPr>
              <w:jc w:val="center"/>
              <w:ind w:right="37"/>
              <w:spacing w:after="0"/>
              <w:rPr>
                <w:sz w:val="20"/>
                <w:szCs w:val="20"/>
                <w:color w:val="auto"/>
              </w:rPr>
            </w:pPr>
            <w:r>
              <w:rPr>
                <w:rFonts w:ascii="Arial" w:cs="Arial" w:eastAsia="Arial" w:hAnsi="Arial"/>
                <w:sz w:val="13"/>
                <w:szCs w:val="13"/>
                <w:color w:val="auto"/>
                <w:w w:val="95"/>
              </w:rPr>
              <w:t>$7,592</w:t>
            </w:r>
          </w:p>
        </w:tc>
        <w:tc>
          <w:tcPr>
            <w:tcW w:w="1600" w:type="dxa"/>
            <w:vAlign w:val="bottom"/>
            <w:shd w:val="clear" w:color="auto" w:fill="123054"/>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shd w:val="clear" w:color="auto" w:fill="123054"/>
          </w:tcPr>
          <w:p>
            <w:pPr>
              <w:jc w:val="center"/>
              <w:spacing w:after="0"/>
              <w:rPr>
                <w:sz w:val="20"/>
                <w:szCs w:val="20"/>
                <w:color w:val="auto"/>
              </w:rPr>
            </w:pPr>
            <w:r>
              <w:rPr>
                <w:rFonts w:ascii="Arial" w:cs="Arial" w:eastAsia="Arial" w:hAnsi="Arial"/>
                <w:sz w:val="13"/>
                <w:szCs w:val="13"/>
                <w:color w:val="auto"/>
                <w:w w:val="97"/>
              </w:rPr>
              <w:t>$33,283</w:t>
            </w:r>
          </w:p>
        </w:tc>
        <w:tc>
          <w:tcPr>
            <w:tcW w:w="1480" w:type="dxa"/>
            <w:vAlign w:val="bottom"/>
            <w:shd w:val="clear" w:color="auto" w:fill="123054"/>
          </w:tcPr>
          <w:p>
            <w:pPr>
              <w:ind w:left="6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123054"/>
          </w:tcPr>
          <w:p>
            <w:pPr>
              <w:jc w:val="center"/>
              <w:spacing w:after="0"/>
              <w:rPr>
                <w:sz w:val="20"/>
                <w:szCs w:val="20"/>
                <w:color w:val="auto"/>
              </w:rPr>
            </w:pPr>
            <w:r>
              <w:rPr>
                <w:rFonts w:ascii="Arial" w:cs="Arial" w:eastAsia="Arial" w:hAnsi="Arial"/>
                <w:sz w:val="13"/>
                <w:szCs w:val="13"/>
                <w:color w:val="auto"/>
                <w:w w:val="95"/>
              </w:rPr>
              <w:t>$334,552</w:t>
            </w:r>
          </w:p>
        </w:tc>
        <w:tc>
          <w:tcPr>
            <w:tcW w:w="0" w:type="dxa"/>
            <w:vAlign w:val="bottom"/>
          </w:tcPr>
          <w:p>
            <w:pPr>
              <w:spacing w:after="0"/>
              <w:rPr>
                <w:sz w:val="1"/>
                <w:szCs w:val="1"/>
                <w:color w:val="auto"/>
              </w:rPr>
            </w:pPr>
          </w:p>
        </w:tc>
      </w:tr>
      <w:tr>
        <w:trPr>
          <w:trHeight w:val="166"/>
        </w:trPr>
        <w:tc>
          <w:tcPr>
            <w:tcW w:w="1560" w:type="dxa"/>
            <w:vAlign w:val="bottom"/>
            <w:shd w:val="clear" w:color="auto" w:fill="123054"/>
          </w:tcPr>
          <w:p>
            <w:pPr>
              <w:ind w:left="140"/>
              <w:spacing w:after="0"/>
              <w:rPr>
                <w:sz w:val="20"/>
                <w:szCs w:val="20"/>
                <w:color w:val="auto"/>
              </w:rPr>
            </w:pPr>
            <w:r>
              <w:rPr>
                <w:rFonts w:ascii="Arial" w:cs="Arial" w:eastAsia="Arial" w:hAnsi="Arial"/>
                <w:sz w:val="13"/>
                <w:szCs w:val="13"/>
                <w:color w:val="auto"/>
              </w:rPr>
              <w:t>Westenberger</w:t>
            </w:r>
          </w:p>
        </w:tc>
        <w:tc>
          <w:tcPr>
            <w:tcW w:w="1240" w:type="dxa"/>
            <w:vAlign w:val="bottom"/>
            <w:shd w:val="clear" w:color="auto" w:fill="123054"/>
          </w:tcPr>
          <w:p>
            <w:pPr>
              <w:spacing w:after="0"/>
              <w:rPr>
                <w:sz w:val="14"/>
                <w:szCs w:val="14"/>
                <w:color w:val="auto"/>
              </w:rPr>
            </w:pPr>
          </w:p>
        </w:tc>
        <w:tc>
          <w:tcPr>
            <w:tcW w:w="1600" w:type="dxa"/>
            <w:vAlign w:val="bottom"/>
            <w:shd w:val="clear" w:color="auto" w:fill="123054"/>
          </w:tcPr>
          <w:p>
            <w:pPr>
              <w:spacing w:after="0"/>
              <w:rPr>
                <w:sz w:val="14"/>
                <w:szCs w:val="14"/>
                <w:color w:val="auto"/>
              </w:rPr>
            </w:pPr>
          </w:p>
        </w:tc>
        <w:tc>
          <w:tcPr>
            <w:tcW w:w="1420" w:type="dxa"/>
            <w:vAlign w:val="bottom"/>
            <w:shd w:val="clear" w:color="auto" w:fill="123054"/>
          </w:tcPr>
          <w:p>
            <w:pPr>
              <w:spacing w:after="0"/>
              <w:rPr>
                <w:sz w:val="14"/>
                <w:szCs w:val="14"/>
                <w:color w:val="auto"/>
              </w:rPr>
            </w:pPr>
          </w:p>
        </w:tc>
        <w:tc>
          <w:tcPr>
            <w:tcW w:w="1480" w:type="dxa"/>
            <w:vAlign w:val="bottom"/>
            <w:shd w:val="clear" w:color="auto" w:fill="123054"/>
          </w:tcPr>
          <w:p>
            <w:pPr>
              <w:spacing w:after="0"/>
              <w:rPr>
                <w:sz w:val="14"/>
                <w:szCs w:val="14"/>
                <w:color w:val="auto"/>
              </w:rPr>
            </w:pPr>
          </w:p>
        </w:tc>
        <w:tc>
          <w:tcPr>
            <w:tcW w:w="1340" w:type="dxa"/>
            <w:vAlign w:val="bottom"/>
            <w:shd w:val="clear" w:color="auto" w:fill="123054"/>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560" w:type="dxa"/>
            <w:vAlign w:val="bottom"/>
            <w:tcBorders>
              <w:bottom w:val="single" w:sz="8" w:color="123054"/>
            </w:tcBorders>
            <w:shd w:val="clear" w:color="auto" w:fill="123054"/>
          </w:tcPr>
          <w:p>
            <w:pPr>
              <w:ind w:left="140"/>
              <w:spacing w:after="0"/>
              <w:rPr>
                <w:sz w:val="20"/>
                <w:szCs w:val="20"/>
                <w:color w:val="auto"/>
              </w:rPr>
            </w:pPr>
            <w:r>
              <w:rPr>
                <w:rFonts w:ascii="Arial" w:cs="Arial" w:eastAsia="Arial" w:hAnsi="Arial"/>
                <w:sz w:val="13"/>
                <w:szCs w:val="13"/>
                <w:color w:val="auto"/>
              </w:rPr>
              <w:t>Kendra D. Krugman</w:t>
            </w:r>
          </w:p>
        </w:tc>
        <w:tc>
          <w:tcPr>
            <w:tcW w:w="1240" w:type="dxa"/>
            <w:vAlign w:val="bottom"/>
            <w:tcBorders>
              <w:bottom w:val="single" w:sz="8" w:color="123054"/>
            </w:tcBorders>
            <w:shd w:val="clear" w:color="auto" w:fill="123054"/>
          </w:tcPr>
          <w:p>
            <w:pPr>
              <w:jc w:val="center"/>
              <w:ind w:right="37"/>
              <w:spacing w:after="0"/>
              <w:rPr>
                <w:sz w:val="20"/>
                <w:szCs w:val="20"/>
                <w:color w:val="auto"/>
              </w:rPr>
            </w:pPr>
            <w:r>
              <w:rPr>
                <w:rFonts w:ascii="Arial" w:cs="Arial" w:eastAsia="Arial" w:hAnsi="Arial"/>
                <w:sz w:val="13"/>
                <w:szCs w:val="13"/>
                <w:color w:val="auto"/>
                <w:w w:val="88"/>
              </w:rPr>
              <w:t>$—</w:t>
            </w:r>
          </w:p>
        </w:tc>
        <w:tc>
          <w:tcPr>
            <w:tcW w:w="1600" w:type="dxa"/>
            <w:vAlign w:val="bottom"/>
            <w:tcBorders>
              <w:bottom w:val="single" w:sz="8" w:color="123054"/>
            </w:tcBorders>
            <w:shd w:val="clear" w:color="auto" w:fill="123054"/>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tcBorders>
              <w:bottom w:val="single" w:sz="8" w:color="123054"/>
            </w:tcBorders>
            <w:shd w:val="clear" w:color="auto" w:fill="123054"/>
          </w:tcPr>
          <w:p>
            <w:pPr>
              <w:jc w:val="center"/>
              <w:spacing w:after="0"/>
              <w:rPr>
                <w:sz w:val="20"/>
                <w:szCs w:val="20"/>
                <w:color w:val="auto"/>
              </w:rPr>
            </w:pPr>
            <w:r>
              <w:rPr>
                <w:rFonts w:ascii="Arial" w:cs="Arial" w:eastAsia="Arial" w:hAnsi="Arial"/>
                <w:sz w:val="13"/>
                <w:szCs w:val="13"/>
                <w:color w:val="auto"/>
                <w:w w:val="98"/>
              </w:rPr>
              <w:t>$—</w:t>
            </w:r>
          </w:p>
        </w:tc>
        <w:tc>
          <w:tcPr>
            <w:tcW w:w="1480" w:type="dxa"/>
            <w:vAlign w:val="bottom"/>
            <w:tcBorders>
              <w:bottom w:val="single" w:sz="8" w:color="123054"/>
            </w:tcBorders>
            <w:shd w:val="clear" w:color="auto" w:fill="123054"/>
          </w:tcPr>
          <w:p>
            <w:pPr>
              <w:ind w:left="6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123054"/>
            </w:tcBorders>
            <w:shd w:val="clear" w:color="auto" w:fill="123054"/>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391"/>
        </w:trPr>
        <w:tc>
          <w:tcPr>
            <w:tcW w:w="1560" w:type="dxa"/>
            <w:vAlign w:val="bottom"/>
          </w:tcPr>
          <w:p>
            <w:pPr>
              <w:ind w:left="140"/>
              <w:spacing w:after="0"/>
              <w:rPr>
                <w:sz w:val="20"/>
                <w:szCs w:val="20"/>
                <w:color w:val="auto"/>
              </w:rPr>
            </w:pPr>
            <w:r>
              <w:rPr>
                <w:rFonts w:ascii="Arial" w:cs="Arial" w:eastAsia="Arial" w:hAnsi="Arial"/>
                <w:sz w:val="13"/>
                <w:szCs w:val="13"/>
                <w:color w:val="auto"/>
              </w:rPr>
              <w:t>Allison M. Peterson</w:t>
            </w:r>
          </w:p>
        </w:tc>
        <w:tc>
          <w:tcPr>
            <w:tcW w:w="1240" w:type="dxa"/>
            <w:vAlign w:val="bottom"/>
          </w:tcPr>
          <w:p>
            <w:pPr>
              <w:jc w:val="center"/>
              <w:ind w:right="37"/>
              <w:spacing w:after="0"/>
              <w:rPr>
                <w:sz w:val="20"/>
                <w:szCs w:val="20"/>
                <w:color w:val="auto"/>
              </w:rPr>
            </w:pPr>
            <w:r>
              <w:rPr>
                <w:rFonts w:ascii="Arial" w:cs="Arial" w:eastAsia="Arial" w:hAnsi="Arial"/>
                <w:sz w:val="13"/>
                <w:szCs w:val="13"/>
                <w:color w:val="auto"/>
                <w:w w:val="88"/>
              </w:rPr>
              <w:t>$—</w:t>
            </w:r>
          </w:p>
        </w:tc>
        <w:tc>
          <w:tcPr>
            <w:tcW w:w="160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80" w:type="dxa"/>
            <w:vAlign w:val="bottom"/>
          </w:tcPr>
          <w:p>
            <w:pPr>
              <w:ind w:left="660"/>
              <w:spacing w:after="0"/>
              <w:rPr>
                <w:sz w:val="20"/>
                <w:szCs w:val="20"/>
                <w:color w:val="auto"/>
              </w:rPr>
            </w:pPr>
            <w:r>
              <w:rPr>
                <w:rFonts w:ascii="Arial" w:cs="Arial" w:eastAsia="Arial" w:hAnsi="Arial"/>
                <w:sz w:val="13"/>
                <w:szCs w:val="13"/>
                <w:color w:val="auto"/>
              </w:rPr>
              <w:t>$—</w:t>
            </w: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41"/>
        </w:trPr>
        <w:tc>
          <w:tcPr>
            <w:tcW w:w="1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Raghu R. Sagi</w:t>
            </w:r>
          </w:p>
        </w:tc>
        <w:tc>
          <w:tcPr>
            <w:tcW w:w="1240" w:type="dxa"/>
            <w:vAlign w:val="bottom"/>
            <w:shd w:val="clear" w:color="auto" w:fill="DBDBDB"/>
          </w:tcPr>
          <w:p>
            <w:pPr>
              <w:jc w:val="center"/>
              <w:ind w:right="17"/>
              <w:spacing w:after="0"/>
              <w:rPr>
                <w:sz w:val="20"/>
                <w:szCs w:val="20"/>
                <w:color w:val="auto"/>
              </w:rPr>
            </w:pPr>
            <w:r>
              <w:rPr>
                <w:rFonts w:ascii="Arial" w:cs="Arial" w:eastAsia="Arial" w:hAnsi="Arial"/>
                <w:sz w:val="13"/>
                <w:szCs w:val="13"/>
                <w:color w:val="auto"/>
                <w:w w:val="95"/>
              </w:rPr>
              <w:t>$150,000</w:t>
            </w:r>
          </w:p>
        </w:tc>
        <w:tc>
          <w:tcPr>
            <w:tcW w:w="16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5"/>
              </w:rPr>
              <w:t>$3,519</w:t>
            </w:r>
          </w:p>
        </w:tc>
        <w:tc>
          <w:tcPr>
            <w:tcW w:w="1480" w:type="dxa"/>
            <w:vAlign w:val="bottom"/>
            <w:shd w:val="clear" w:color="auto" w:fill="DBDBDB"/>
          </w:tcPr>
          <w:p>
            <w:pPr>
              <w:ind w:left="6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5"/>
              </w:rPr>
              <w:t>$153,519</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3"/>
                <w:szCs w:val="13"/>
                <w:color w:val="auto"/>
              </w:rPr>
              <w:t>Michael D. Casey</w:t>
            </w:r>
          </w:p>
        </w:tc>
        <w:tc>
          <w:tcPr>
            <w:tcW w:w="1240" w:type="dxa"/>
            <w:vAlign w:val="bottom"/>
            <w:tcBorders>
              <w:bottom w:val="single" w:sz="8" w:color="DBDBDB"/>
            </w:tcBorders>
            <w:shd w:val="clear" w:color="auto" w:fill="DBDBDB"/>
          </w:tcPr>
          <w:p>
            <w:pPr>
              <w:jc w:val="center"/>
              <w:ind w:right="37"/>
              <w:spacing w:after="0"/>
              <w:rPr>
                <w:sz w:val="20"/>
                <w:szCs w:val="20"/>
                <w:color w:val="auto"/>
              </w:rPr>
            </w:pPr>
            <w:r>
              <w:rPr>
                <w:rFonts w:ascii="Arial" w:cs="Arial" w:eastAsia="Arial" w:hAnsi="Arial"/>
                <w:sz w:val="13"/>
                <w:szCs w:val="13"/>
                <w:color w:val="auto"/>
                <w:w w:val="88"/>
              </w:rPr>
              <w:t>$—</w:t>
            </w:r>
          </w:p>
        </w:tc>
        <w:tc>
          <w:tcPr>
            <w:tcW w:w="16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1480" w:type="dxa"/>
            <w:vAlign w:val="bottom"/>
            <w:tcBorders>
              <w:bottom w:val="single" w:sz="8" w:color="DBDBDB"/>
            </w:tcBorders>
            <w:shd w:val="clear" w:color="auto" w:fill="DBDBDB"/>
          </w:tcPr>
          <w:p>
            <w:pPr>
              <w:ind w:left="6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75"/>
        </w:trPr>
        <w:tc>
          <w:tcPr>
            <w:tcW w:w="1560" w:type="dxa"/>
            <w:vAlign w:val="bottom"/>
          </w:tcPr>
          <w:p>
            <w:pPr>
              <w:ind w:left="140"/>
              <w:spacing w:after="0"/>
              <w:rPr>
                <w:sz w:val="20"/>
                <w:szCs w:val="20"/>
                <w:color w:val="auto"/>
              </w:rPr>
            </w:pPr>
            <w:r>
              <w:rPr>
                <w:rFonts w:ascii="Arial" w:cs="Arial" w:eastAsia="Arial" w:hAnsi="Arial"/>
                <w:sz w:val="13"/>
                <w:szCs w:val="13"/>
                <w:color w:val="auto"/>
              </w:rPr>
              <w:t>Brian J. Lynch</w:t>
            </w:r>
          </w:p>
        </w:tc>
        <w:tc>
          <w:tcPr>
            <w:tcW w:w="1240" w:type="dxa"/>
            <w:vAlign w:val="bottom"/>
          </w:tcPr>
          <w:p>
            <w:pPr>
              <w:jc w:val="center"/>
              <w:ind w:right="37"/>
              <w:spacing w:after="0"/>
              <w:rPr>
                <w:sz w:val="20"/>
                <w:szCs w:val="20"/>
                <w:color w:val="auto"/>
              </w:rPr>
            </w:pPr>
            <w:r>
              <w:rPr>
                <w:rFonts w:ascii="Arial" w:cs="Arial" w:eastAsia="Arial" w:hAnsi="Arial"/>
                <w:sz w:val="13"/>
                <w:szCs w:val="13"/>
                <w:color w:val="auto"/>
                <w:w w:val="88"/>
              </w:rPr>
              <w:t>$—</w:t>
            </w:r>
          </w:p>
        </w:tc>
        <w:tc>
          <w:tcPr>
            <w:tcW w:w="160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$365,304</w:t>
            </w:r>
          </w:p>
        </w:tc>
        <w:tc>
          <w:tcPr>
            <w:tcW w:w="1480" w:type="dxa"/>
            <w:vAlign w:val="bottom"/>
          </w:tcPr>
          <w:p>
            <w:pPr>
              <w:ind w:left="660"/>
              <w:spacing w:after="0"/>
              <w:rPr>
                <w:sz w:val="20"/>
                <w:szCs w:val="20"/>
                <w:color w:val="auto"/>
              </w:rPr>
            </w:pPr>
            <w:r>
              <w:rPr>
                <w:rFonts w:ascii="Arial" w:cs="Arial" w:eastAsia="Arial" w:hAnsi="Arial"/>
                <w:sz w:val="13"/>
                <w:szCs w:val="13"/>
                <w:color w:val="auto"/>
              </w:rPr>
              <w:t>$—</w:t>
            </w:r>
          </w:p>
        </w:tc>
        <w:tc>
          <w:tcPr>
            <w:tcW w:w="1340" w:type="dxa"/>
            <w:vAlign w:val="bottom"/>
          </w:tcPr>
          <w:p>
            <w:pPr>
              <w:jc w:val="center"/>
              <w:ind w:left="17"/>
              <w:spacing w:after="0"/>
              <w:rPr>
                <w:sz w:val="20"/>
                <w:szCs w:val="20"/>
                <w:color w:val="auto"/>
              </w:rPr>
            </w:pPr>
            <w:r>
              <w:rPr>
                <w:rFonts w:ascii="Arial" w:cs="Arial" w:eastAsia="Arial" w:hAnsi="Arial"/>
                <w:sz w:val="13"/>
                <w:szCs w:val="13"/>
                <w:color w:val="auto"/>
                <w:w w:val="95"/>
              </w:rPr>
              <w:t>$3,018,859</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20" w:right="1760" w:hanging="387"/>
        <w:spacing w:after="0" w:line="230" w:lineRule="auto"/>
        <w:tabs>
          <w:tab w:leader="none" w:pos="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 of the amounts reported in this column for Ms. Wilson are also included within the amount reported for that officer in the Summary Compensation Table.</w:t>
      </w:r>
    </w:p>
    <w:p>
      <w:pPr>
        <w:spacing w:after="0" w:line="10" w:lineRule="exact"/>
        <w:rPr>
          <w:rFonts w:ascii="Arial" w:cs="Arial" w:eastAsia="Arial" w:hAnsi="Arial"/>
          <w:sz w:val="13"/>
          <w:szCs w:val="13"/>
          <w:color w:val="auto"/>
        </w:rPr>
      </w:pPr>
    </w:p>
    <w:p>
      <w:pPr>
        <w:ind w:left="620" w:right="1680" w:hanging="387"/>
        <w:spacing w:after="0" w:line="243" w:lineRule="auto"/>
        <w:tabs>
          <w:tab w:leader="none" w:pos="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None of the amounts reported in this column are reported in the All Other Compensation column of the Summary Compensation Table because the Company does not pay guaranteed or preferential earnings on deferred compensation.</w:t>
      </w:r>
    </w:p>
    <w:p>
      <w:pPr>
        <w:spacing w:after="0" w:line="7" w:lineRule="exact"/>
        <w:rPr>
          <w:rFonts w:ascii="Arial" w:cs="Arial" w:eastAsia="Arial" w:hAnsi="Arial"/>
          <w:sz w:val="13"/>
          <w:szCs w:val="13"/>
          <w:color w:val="auto"/>
        </w:rPr>
      </w:pPr>
    </w:p>
    <w:p>
      <w:pPr>
        <w:ind w:left="620" w:right="1580" w:hanging="387"/>
        <w:spacing w:after="0" w:line="230" w:lineRule="auto"/>
        <w:tabs>
          <w:tab w:leader="none" w:pos="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reported in this column for each NEO include amounts previously reported in the Company’s Summary Compensation Table in previous years when earned if that NEO’s compensation was required to be disclosed in a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8141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681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line="263" w:lineRule="auto"/>
        <w:rPr>
          <w:sz w:val="20"/>
          <w:szCs w:val="20"/>
          <w:color w:val="auto"/>
        </w:rPr>
      </w:pPr>
      <w:r>
        <w:rPr>
          <w:rFonts w:ascii="Arial" w:cs="Arial" w:eastAsia="Arial" w:hAnsi="Arial"/>
          <w:sz w:val="32"/>
          <w:szCs w:val="32"/>
          <w:b w:val="1"/>
          <w:bCs w:val="1"/>
          <w:color w:val="123054"/>
        </w:rPr>
        <w:t>POTENTIAL PAYMENTS UPON TERMINATION OR CHANGE OF CONTROL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TERMINATION</w:t>
      </w:r>
    </w:p>
    <w:p>
      <w:pPr>
        <w:spacing w:after="0" w:line="64" w:lineRule="exact"/>
        <w:rPr>
          <w:sz w:val="20"/>
          <w:szCs w:val="20"/>
          <w:color w:val="auto"/>
        </w:rPr>
      </w:pPr>
    </w:p>
    <w:p>
      <w:pPr>
        <w:jc w:val="both"/>
        <w:ind w:left="140" w:right="860"/>
        <w:spacing w:after="0" w:line="262" w:lineRule="auto"/>
        <w:rPr>
          <w:sz w:val="20"/>
          <w:szCs w:val="20"/>
          <w:color w:val="auto"/>
        </w:rPr>
      </w:pPr>
      <w:r>
        <w:rPr>
          <w:rFonts w:ascii="Arial" w:cs="Arial" w:eastAsia="Arial" w:hAnsi="Arial"/>
          <w:sz w:val="20"/>
          <w:szCs w:val="20"/>
          <w:color w:val="auto"/>
        </w:rPr>
        <w:t>As described in more detail above under the heading “Severance Agreements with NEOs,” we have entered into certain agreements and maintain certain plans that may require us in the future to make certain payments and provide certain benefits in the event of a termination of employment.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 purposes of the table below, a hypothetical termination without “cause” or resignation for “good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reason” is assumed to have occurred asDecemberof 28, 2024, the last day of fiscal2024. The table</w:t>
      </w:r>
    </w:p>
    <w:p>
      <w:pPr>
        <w:spacing w:after="0" w:line="13" w:lineRule="exact"/>
        <w:rPr>
          <w:sz w:val="20"/>
          <w:szCs w:val="20"/>
          <w:color w:val="auto"/>
        </w:rPr>
      </w:pPr>
    </w:p>
    <w:p>
      <w:pPr>
        <w:ind w:left="140" w:right="500"/>
        <w:spacing w:after="0" w:line="249" w:lineRule="auto"/>
        <w:rPr>
          <w:sz w:val="20"/>
          <w:szCs w:val="20"/>
          <w:color w:val="auto"/>
        </w:rPr>
      </w:pPr>
      <w:r>
        <w:rPr>
          <w:rFonts w:ascii="Arial" w:cs="Arial" w:eastAsia="Arial" w:hAnsi="Arial"/>
          <w:sz w:val="20"/>
          <w:szCs w:val="20"/>
          <w:color w:val="auto"/>
        </w:rPr>
        <w:t>below indicates the payment and provision of other benefits that would be owed to each of our NEOs as the result of such a termination, as well as unvested performance-based restricted stock that is eligible for “retirement” treatment under the applicable award agreements. There can be no assurance that a termination of employment of any of our NEOs would produce the same or similar results as those set forth below on any other date. The terms “without cause” and “good reason” are defined in the agreements with our executives and summarized above under the heading “Severance Agreements with NEOs.” In addition, in the table below, we have included the potential vesting of performance-based restricted stock for those executives who are eligible to receive “retirement” treatment for those outstanding awards. Under the award agreements for the outstanding performance-based restricted stock grants, a recipient is eligible for “retirement” treatment if the executive ends his or her employment with the Company on or after the date that they have reached age 60 and completed at least five years of service with the Company (but only to the extent that circumstances constituting “Cause”, as defined under the agreement, do not exist). For awards that receive “Retirement” treatment, the executive is eligible to receive pro-rated vesting (if any) of the performance-based restricted stock (calculated based on the number of days the executive worked at the Company from the grant date through the retirement date) subject to the ultimate achievement, by the Company, of the performance metrics under the applicable award agreements.</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640" w:type="dxa"/>
            <w:vAlign w:val="bottom"/>
            <w:tcBorders>
              <w:right w:val="single" w:sz="8" w:color="123054"/>
            </w:tcBorders>
            <w:shd w:val="clear" w:color="auto" w:fill="123054"/>
          </w:tcPr>
          <w:p>
            <w:pPr>
              <w:spacing w:after="0"/>
              <w:rPr>
                <w:sz w:val="17"/>
                <w:szCs w:val="17"/>
                <w:color w:val="auto"/>
              </w:rPr>
            </w:pPr>
          </w:p>
        </w:tc>
        <w:tc>
          <w:tcPr>
            <w:tcW w:w="1180" w:type="dxa"/>
            <w:vAlign w:val="bottom"/>
            <w:tcBorders>
              <w:right w:val="single" w:sz="8" w:color="123054"/>
            </w:tcBorders>
            <w:shd w:val="clear" w:color="auto" w:fill="123054"/>
          </w:tcPr>
          <w:p>
            <w:pPr>
              <w:ind w:left="300"/>
              <w:spacing w:after="0"/>
              <w:rPr>
                <w:sz w:val="20"/>
                <w:szCs w:val="20"/>
                <w:color w:val="auto"/>
              </w:rPr>
            </w:pPr>
            <w:r>
              <w:rPr>
                <w:rFonts w:ascii="Arial" w:cs="Arial" w:eastAsia="Arial" w:hAnsi="Arial"/>
                <w:sz w:val="16"/>
                <w:szCs w:val="16"/>
                <w:b w:val="1"/>
                <w:bCs w:val="1"/>
                <w:color w:val="FBFBFB"/>
              </w:rPr>
              <w:t>Richard</w:t>
            </w:r>
          </w:p>
        </w:tc>
        <w:tc>
          <w:tcPr>
            <w:tcW w:w="11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7"/>
              </w:rPr>
              <w:t>Kendra</w:t>
            </w:r>
          </w:p>
        </w:tc>
        <w:tc>
          <w:tcPr>
            <w:tcW w:w="10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Allison</w:t>
            </w:r>
          </w:p>
        </w:tc>
        <w:tc>
          <w:tcPr>
            <w:tcW w:w="9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Raghu</w:t>
            </w:r>
          </w:p>
        </w:tc>
        <w:tc>
          <w:tcPr>
            <w:tcW w:w="9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Michael</w:t>
            </w:r>
          </w:p>
        </w:tc>
        <w:tc>
          <w:tcPr>
            <w:tcW w:w="920" w:type="dxa"/>
            <w:vAlign w:val="bottom"/>
            <w:shd w:val="clear" w:color="auto" w:fill="123054"/>
          </w:tcPr>
          <w:p>
            <w:pPr>
              <w:jc w:val="center"/>
              <w:spacing w:after="0"/>
              <w:rPr>
                <w:sz w:val="20"/>
                <w:szCs w:val="20"/>
                <w:color w:val="auto"/>
              </w:rPr>
            </w:pPr>
            <w:r>
              <w:rPr>
                <w:rFonts w:ascii="Arial" w:cs="Arial" w:eastAsia="Arial" w:hAnsi="Arial"/>
                <w:sz w:val="16"/>
                <w:szCs w:val="16"/>
                <w:b w:val="1"/>
                <w:bCs w:val="1"/>
                <w:color w:val="FBFBFB"/>
              </w:rPr>
              <w:t>Brian</w:t>
            </w:r>
          </w:p>
        </w:tc>
      </w:tr>
      <w:tr>
        <w:trPr>
          <w:trHeight w:val="162"/>
        </w:trPr>
        <w:tc>
          <w:tcPr>
            <w:tcW w:w="2640" w:type="dxa"/>
            <w:vAlign w:val="bottom"/>
            <w:tcBorders>
              <w:right w:val="single" w:sz="8" w:color="123054"/>
            </w:tcBorders>
            <w:shd w:val="clear" w:color="auto" w:fill="123054"/>
          </w:tcPr>
          <w:p>
            <w:pPr>
              <w:spacing w:after="0"/>
              <w:rPr>
                <w:sz w:val="14"/>
                <w:szCs w:val="14"/>
                <w:color w:val="auto"/>
              </w:rPr>
            </w:pPr>
          </w:p>
        </w:tc>
        <w:tc>
          <w:tcPr>
            <w:tcW w:w="1180" w:type="dxa"/>
            <w:vAlign w:val="bottom"/>
            <w:tcBorders>
              <w:right w:val="single" w:sz="8" w:color="123054"/>
            </w:tcBorders>
            <w:shd w:val="clear" w:color="auto" w:fill="123054"/>
          </w:tcPr>
          <w:p>
            <w:pPr>
              <w:ind w:left="500"/>
              <w:spacing w:after="0" w:line="162" w:lineRule="exact"/>
              <w:rPr>
                <w:sz w:val="20"/>
                <w:szCs w:val="20"/>
                <w:color w:val="auto"/>
              </w:rPr>
            </w:pPr>
            <w:r>
              <w:rPr>
                <w:rFonts w:ascii="Arial" w:cs="Arial" w:eastAsia="Arial" w:hAnsi="Arial"/>
                <w:sz w:val="16"/>
                <w:szCs w:val="16"/>
                <w:b w:val="1"/>
                <w:bCs w:val="1"/>
                <w:color w:val="FBFBFB"/>
              </w:rPr>
              <w:t>F.</w:t>
            </w:r>
          </w:p>
        </w:tc>
        <w:tc>
          <w:tcPr>
            <w:tcW w:w="118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D.</w:t>
            </w:r>
          </w:p>
        </w:tc>
        <w:tc>
          <w:tcPr>
            <w:tcW w:w="1020" w:type="dxa"/>
            <w:vAlign w:val="bottom"/>
            <w:tcBorders>
              <w:right w:val="single" w:sz="8" w:color="123054"/>
            </w:tcBorders>
            <w:shd w:val="clear" w:color="auto" w:fill="123054"/>
          </w:tcPr>
          <w:p>
            <w:pPr>
              <w:jc w:val="right"/>
              <w:ind w:right="359"/>
              <w:spacing w:after="0" w:line="162" w:lineRule="exact"/>
              <w:rPr>
                <w:sz w:val="20"/>
                <w:szCs w:val="20"/>
                <w:color w:val="auto"/>
              </w:rPr>
            </w:pPr>
            <w:r>
              <w:rPr>
                <w:rFonts w:ascii="Arial" w:cs="Arial" w:eastAsia="Arial" w:hAnsi="Arial"/>
                <w:sz w:val="16"/>
                <w:szCs w:val="16"/>
                <w:b w:val="1"/>
                <w:bCs w:val="1"/>
                <w:color w:val="FBFBFB"/>
              </w:rPr>
              <w:t>M.</w:t>
            </w:r>
          </w:p>
        </w:tc>
        <w:tc>
          <w:tcPr>
            <w:tcW w:w="90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R.</w:t>
            </w:r>
          </w:p>
        </w:tc>
        <w:tc>
          <w:tcPr>
            <w:tcW w:w="9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D.</w:t>
            </w:r>
          </w:p>
        </w:tc>
        <w:tc>
          <w:tcPr>
            <w:tcW w:w="92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rPr>
              <w:t>J.</w:t>
            </w:r>
          </w:p>
        </w:tc>
      </w:tr>
      <w:tr>
        <w:trPr>
          <w:trHeight w:val="216"/>
        </w:trPr>
        <w:tc>
          <w:tcPr>
            <w:tcW w:w="2640" w:type="dxa"/>
            <w:vAlign w:val="bottom"/>
            <w:tcBorders>
              <w:right w:val="single" w:sz="8" w:color="123054"/>
            </w:tcBorders>
            <w:shd w:val="clear" w:color="auto" w:fill="123054"/>
          </w:tcPr>
          <w:p>
            <w:pPr>
              <w:spacing w:after="0"/>
              <w:rPr>
                <w:sz w:val="18"/>
                <w:szCs w:val="18"/>
                <w:color w:val="auto"/>
              </w:rPr>
            </w:pPr>
          </w:p>
        </w:tc>
        <w:tc>
          <w:tcPr>
            <w:tcW w:w="11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Westenberger</w:t>
            </w:r>
          </w:p>
        </w:tc>
        <w:tc>
          <w:tcPr>
            <w:tcW w:w="11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Krugman</w:t>
            </w:r>
          </w:p>
        </w:tc>
        <w:tc>
          <w:tcPr>
            <w:tcW w:w="10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Peterson</w:t>
            </w:r>
          </w:p>
        </w:tc>
        <w:tc>
          <w:tcPr>
            <w:tcW w:w="9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Sagi</w:t>
            </w:r>
          </w:p>
        </w:tc>
        <w:tc>
          <w:tcPr>
            <w:tcW w:w="9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7"/>
              </w:rPr>
              <w:t>Casey</w:t>
            </w:r>
          </w:p>
        </w:tc>
        <w:tc>
          <w:tcPr>
            <w:tcW w:w="920" w:type="dxa"/>
            <w:vAlign w:val="bottom"/>
            <w:shd w:val="clear" w:color="auto" w:fill="123054"/>
          </w:tcPr>
          <w:p>
            <w:pPr>
              <w:jc w:val="center"/>
              <w:spacing w:after="0"/>
              <w:rPr>
                <w:sz w:val="20"/>
                <w:szCs w:val="20"/>
                <w:color w:val="auto"/>
              </w:rPr>
            </w:pPr>
            <w:r>
              <w:rPr>
                <w:rFonts w:ascii="Arial" w:cs="Arial" w:eastAsia="Arial" w:hAnsi="Arial"/>
                <w:sz w:val="16"/>
                <w:szCs w:val="16"/>
                <w:b w:val="1"/>
                <w:bCs w:val="1"/>
                <w:color w:val="FBFBFB"/>
                <w:w w:val="97"/>
              </w:rPr>
              <w:t>Lynch</w:t>
            </w:r>
          </w:p>
        </w:tc>
      </w:tr>
      <w:tr>
        <w:trPr>
          <w:trHeight w:val="249"/>
        </w:trPr>
        <w:tc>
          <w:tcPr>
            <w:tcW w:w="2640" w:type="dxa"/>
            <w:vAlign w:val="bottom"/>
            <w:tcBorders>
              <w:right w:val="single" w:sz="8" w:color="123054"/>
            </w:tcBorders>
          </w:tcPr>
          <w:p>
            <w:pPr>
              <w:ind w:left="140"/>
              <w:spacing w:after="0"/>
              <w:rPr>
                <w:sz w:val="20"/>
                <w:szCs w:val="20"/>
                <w:color w:val="auto"/>
              </w:rPr>
            </w:pPr>
            <w:r>
              <w:rPr>
                <w:rFonts w:ascii="Arial" w:cs="Arial" w:eastAsia="Arial" w:hAnsi="Arial"/>
                <w:sz w:val="16"/>
                <w:szCs w:val="16"/>
                <w:color w:val="auto"/>
              </w:rPr>
              <w:t>Base Salary</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8"/>
              </w:rPr>
              <w:t>$775,000</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$775,000</w:t>
            </w:r>
          </w:p>
        </w:tc>
        <w:tc>
          <w:tcPr>
            <w:tcW w:w="1020" w:type="dxa"/>
            <w:vAlign w:val="bottom"/>
            <w:tcBorders>
              <w:right w:val="single" w:sz="8" w:color="123054"/>
            </w:tcBorders>
          </w:tcPr>
          <w:p>
            <w:pPr>
              <w:jc w:val="right"/>
              <w:ind w:right="59"/>
              <w:spacing w:after="0"/>
              <w:rPr>
                <w:sz w:val="20"/>
                <w:szCs w:val="20"/>
                <w:color w:val="auto"/>
              </w:rPr>
            </w:pPr>
            <w:r>
              <w:rPr>
                <w:rFonts w:ascii="Arial" w:cs="Arial" w:eastAsia="Arial" w:hAnsi="Arial"/>
                <w:sz w:val="16"/>
                <w:szCs w:val="16"/>
                <w:color w:val="auto"/>
              </w:rPr>
              <w:t>$750,000</w:t>
            </w:r>
          </w:p>
        </w:tc>
        <w:tc>
          <w:tcPr>
            <w:tcW w:w="900" w:type="dxa"/>
            <w:vAlign w:val="bottom"/>
            <w:tcBorders>
              <w:right w:val="single" w:sz="8" w:color="123054"/>
            </w:tcBorders>
          </w:tcPr>
          <w:p>
            <w:pPr>
              <w:jc w:val="right"/>
              <w:spacing w:after="0"/>
              <w:rPr>
                <w:sz w:val="20"/>
                <w:szCs w:val="20"/>
                <w:color w:val="auto"/>
              </w:rPr>
            </w:pPr>
            <w:r>
              <w:rPr>
                <w:rFonts w:ascii="Arial" w:cs="Arial" w:eastAsia="Arial" w:hAnsi="Arial"/>
                <w:sz w:val="16"/>
                <w:szCs w:val="16"/>
                <w:color w:val="auto"/>
              </w:rPr>
              <w:t>$600,000</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$2,680,000</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4"/>
        </w:trPr>
        <w:tc>
          <w:tcPr>
            <w:tcW w:w="26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16"/>
                <w:szCs w:val="16"/>
                <w:color w:val="auto"/>
              </w:rPr>
              <w:t>Cash Incentive Compensation (a)</w:t>
            </w:r>
          </w:p>
        </w:tc>
        <w:tc>
          <w:tcPr>
            <w:tcW w:w="11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8"/>
              </w:rPr>
              <w:t>33,000</w:t>
            </w:r>
          </w:p>
        </w:tc>
        <w:tc>
          <w:tcPr>
            <w:tcW w:w="118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33,000</w:t>
            </w:r>
          </w:p>
        </w:tc>
        <w:tc>
          <w:tcPr>
            <w:tcW w:w="102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13,700</w:t>
            </w:r>
          </w:p>
        </w:tc>
        <w:tc>
          <w:tcPr>
            <w:tcW w:w="90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15,300</w:t>
            </w:r>
          </w:p>
        </w:tc>
        <w:tc>
          <w:tcPr>
            <w:tcW w:w="920" w:type="dxa"/>
            <w:vAlign w:val="bottom"/>
            <w:tcBorders>
              <w:right w:val="single" w:sz="8" w:color="123054"/>
            </w:tcBorders>
            <w:shd w:val="clear" w:color="auto" w:fill="E4E4E4"/>
          </w:tcPr>
          <w:p>
            <w:pPr>
              <w:jc w:val="right"/>
              <w:ind w:right="59"/>
              <w:spacing w:after="0"/>
              <w:rPr>
                <w:sz w:val="20"/>
                <w:szCs w:val="20"/>
                <w:color w:val="auto"/>
              </w:rPr>
            </w:pPr>
            <w:r>
              <w:rPr>
                <w:rFonts w:ascii="Arial" w:cs="Arial" w:eastAsia="Arial" w:hAnsi="Arial"/>
                <w:sz w:val="16"/>
                <w:szCs w:val="16"/>
                <w:color w:val="auto"/>
              </w:rPr>
              <w:t>100,500</w:t>
            </w:r>
          </w:p>
        </w:tc>
        <w:tc>
          <w:tcPr>
            <w:tcW w:w="920" w:type="dxa"/>
            <w:vAlign w:val="bottom"/>
            <w:shd w:val="clear" w:color="auto" w:fill="E4E4E4"/>
          </w:tcPr>
          <w:p>
            <w:pPr>
              <w:jc w:val="center"/>
              <w:spacing w:after="0"/>
              <w:rPr>
                <w:sz w:val="20"/>
                <w:szCs w:val="20"/>
                <w:color w:val="auto"/>
              </w:rPr>
            </w:pPr>
            <w:r>
              <w:rPr>
                <w:rFonts w:ascii="Arial" w:cs="Arial" w:eastAsia="Arial" w:hAnsi="Arial"/>
                <w:sz w:val="16"/>
                <w:szCs w:val="16"/>
                <w:color w:val="auto"/>
                <w:w w:val="99"/>
              </w:rPr>
              <w:t>—</w:t>
            </w:r>
          </w:p>
        </w:tc>
      </w:tr>
      <w:tr>
        <w:trPr>
          <w:trHeight w:val="216"/>
        </w:trPr>
        <w:tc>
          <w:tcPr>
            <w:tcW w:w="2640" w:type="dxa"/>
            <w:vAlign w:val="bottom"/>
            <w:tcBorders>
              <w:right w:val="single" w:sz="8" w:color="123054"/>
            </w:tcBorders>
          </w:tcPr>
          <w:p>
            <w:pPr>
              <w:ind w:left="140"/>
              <w:spacing w:after="0"/>
              <w:rPr>
                <w:sz w:val="20"/>
                <w:szCs w:val="20"/>
                <w:color w:val="auto"/>
              </w:rPr>
            </w:pPr>
            <w:r>
              <w:rPr>
                <w:rFonts w:ascii="Arial" w:cs="Arial" w:eastAsia="Arial" w:hAnsi="Arial"/>
                <w:sz w:val="16"/>
                <w:szCs w:val="16"/>
                <w:color w:val="auto"/>
              </w:rPr>
              <w:t>Health and Other Benefits</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8"/>
              </w:rPr>
              <w:t>17,538</w:t>
            </w:r>
          </w:p>
        </w:tc>
        <w:tc>
          <w:tcPr>
            <w:tcW w:w="118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6,533</w:t>
            </w:r>
          </w:p>
        </w:tc>
        <w:tc>
          <w:tcPr>
            <w:tcW w:w="10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16,502</w:t>
            </w:r>
          </w:p>
        </w:tc>
        <w:tc>
          <w:tcPr>
            <w:tcW w:w="90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16,502</w:t>
            </w:r>
          </w:p>
        </w:tc>
        <w:tc>
          <w:tcPr>
            <w:tcW w:w="9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35,073</w:t>
            </w:r>
          </w:p>
        </w:tc>
        <w:tc>
          <w:tcPr>
            <w:tcW w:w="920" w:type="dxa"/>
            <w:vAlign w:val="bottom"/>
          </w:tcPr>
          <w:p>
            <w:pPr>
              <w:jc w:val="center"/>
              <w:spacing w:after="0"/>
              <w:rPr>
                <w:sz w:val="20"/>
                <w:szCs w:val="20"/>
                <w:color w:val="auto"/>
              </w:rPr>
            </w:pPr>
            <w:r>
              <w:rPr>
                <w:rFonts w:ascii="Arial" w:cs="Arial" w:eastAsia="Arial" w:hAnsi="Arial"/>
                <w:sz w:val="16"/>
                <w:szCs w:val="16"/>
                <w:color w:val="auto"/>
              </w:rPr>
              <w:t>15,915</w:t>
            </w:r>
          </w:p>
        </w:tc>
      </w:tr>
      <w:tr>
        <w:trPr>
          <w:trHeight w:val="215"/>
        </w:trPr>
        <w:tc>
          <w:tcPr>
            <w:tcW w:w="264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16"/>
                <w:szCs w:val="16"/>
                <w:color w:val="auto"/>
              </w:rPr>
              <w:t>Retirement Treatment of</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6"/>
                <w:szCs w:val="16"/>
                <w:color w:val="auto"/>
              </w:rPr>
              <w:t>4,238,309</w:t>
            </w:r>
          </w:p>
        </w:tc>
        <w:tc>
          <w:tcPr>
            <w:tcW w:w="9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1,206,072</w:t>
            </w:r>
          </w:p>
        </w:tc>
      </w:tr>
      <w:tr>
        <w:trPr>
          <w:trHeight w:val="189"/>
        </w:trPr>
        <w:tc>
          <w:tcPr>
            <w:tcW w:w="2640" w:type="dxa"/>
            <w:vAlign w:val="bottom"/>
            <w:tcBorders>
              <w:right w:val="single" w:sz="8" w:color="123054"/>
            </w:tcBorders>
            <w:shd w:val="clear" w:color="auto" w:fill="DBDBDB"/>
          </w:tcPr>
          <w:p>
            <w:pPr>
              <w:ind w:left="140"/>
              <w:spacing w:after="0"/>
              <w:rPr>
                <w:sz w:val="20"/>
                <w:szCs w:val="20"/>
                <w:color w:val="auto"/>
              </w:rPr>
            </w:pPr>
            <w:r>
              <w:rPr>
                <w:rFonts w:ascii="Arial" w:cs="Arial" w:eastAsia="Arial" w:hAnsi="Arial"/>
                <w:sz w:val="16"/>
                <w:szCs w:val="16"/>
                <w:color w:val="auto"/>
              </w:rPr>
              <w:t>Performance-Based Restricted</w:t>
            </w:r>
          </w:p>
        </w:tc>
        <w:tc>
          <w:tcPr>
            <w:tcW w:w="1180" w:type="dxa"/>
            <w:vAlign w:val="bottom"/>
            <w:tcBorders>
              <w:right w:val="single" w:sz="8" w:color="123054"/>
            </w:tcBorders>
            <w:shd w:val="clear" w:color="auto" w:fill="DBDBDB"/>
          </w:tcPr>
          <w:p>
            <w:pPr>
              <w:spacing w:after="0"/>
              <w:rPr>
                <w:sz w:val="16"/>
                <w:szCs w:val="16"/>
                <w:color w:val="auto"/>
              </w:rPr>
            </w:pPr>
          </w:p>
        </w:tc>
        <w:tc>
          <w:tcPr>
            <w:tcW w:w="1180" w:type="dxa"/>
            <w:vAlign w:val="bottom"/>
            <w:tcBorders>
              <w:right w:val="single" w:sz="8" w:color="123054"/>
            </w:tcBorders>
            <w:shd w:val="clear" w:color="auto" w:fill="DBDBDB"/>
          </w:tcPr>
          <w:p>
            <w:pPr>
              <w:spacing w:after="0"/>
              <w:rPr>
                <w:sz w:val="16"/>
                <w:szCs w:val="16"/>
                <w:color w:val="auto"/>
              </w:rPr>
            </w:pPr>
          </w:p>
        </w:tc>
        <w:tc>
          <w:tcPr>
            <w:tcW w:w="1020" w:type="dxa"/>
            <w:vAlign w:val="bottom"/>
            <w:tcBorders>
              <w:right w:val="single" w:sz="8" w:color="123054"/>
            </w:tcBorders>
            <w:shd w:val="clear" w:color="auto" w:fill="DBDBDB"/>
          </w:tcPr>
          <w:p>
            <w:pPr>
              <w:spacing w:after="0"/>
              <w:rPr>
                <w:sz w:val="16"/>
                <w:szCs w:val="16"/>
                <w:color w:val="auto"/>
              </w:rPr>
            </w:pPr>
          </w:p>
        </w:tc>
        <w:tc>
          <w:tcPr>
            <w:tcW w:w="900" w:type="dxa"/>
            <w:vAlign w:val="bottom"/>
            <w:tcBorders>
              <w:right w:val="single" w:sz="8" w:color="123054"/>
            </w:tcBorders>
            <w:shd w:val="clear" w:color="auto" w:fill="DBDBDB"/>
          </w:tcPr>
          <w:p>
            <w:pPr>
              <w:spacing w:after="0"/>
              <w:rPr>
                <w:sz w:val="16"/>
                <w:szCs w:val="16"/>
                <w:color w:val="auto"/>
              </w:rPr>
            </w:pPr>
          </w:p>
        </w:tc>
        <w:tc>
          <w:tcPr>
            <w:tcW w:w="920" w:type="dxa"/>
            <w:vAlign w:val="bottom"/>
            <w:tcBorders>
              <w:right w:val="single" w:sz="8" w:color="123054"/>
            </w:tcBorders>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r>
      <w:tr>
        <w:trPr>
          <w:trHeight w:val="224"/>
        </w:trPr>
        <w:tc>
          <w:tcPr>
            <w:tcW w:w="2640" w:type="dxa"/>
            <w:vAlign w:val="bottom"/>
            <w:tcBorders>
              <w:bottom w:val="single" w:sz="8" w:color="123054"/>
              <w:right w:val="single" w:sz="8" w:color="123054"/>
            </w:tcBorders>
            <w:shd w:val="clear" w:color="auto" w:fill="DBDBDB"/>
          </w:tcPr>
          <w:p>
            <w:pPr>
              <w:ind w:left="140"/>
              <w:spacing w:after="0"/>
              <w:rPr>
                <w:sz w:val="20"/>
                <w:szCs w:val="20"/>
                <w:color w:val="auto"/>
              </w:rPr>
            </w:pPr>
            <w:r>
              <w:rPr>
                <w:rFonts w:ascii="Arial" w:cs="Arial" w:eastAsia="Arial" w:hAnsi="Arial"/>
                <w:sz w:val="16"/>
                <w:szCs w:val="16"/>
                <w:color w:val="auto"/>
              </w:rPr>
              <w:t>Stock (b)</w:t>
            </w:r>
          </w:p>
        </w:tc>
        <w:tc>
          <w:tcPr>
            <w:tcW w:w="1180" w:type="dxa"/>
            <w:vAlign w:val="bottom"/>
            <w:tcBorders>
              <w:bottom w:val="single" w:sz="8" w:color="123054"/>
              <w:right w:val="single" w:sz="8" w:color="123054"/>
            </w:tcBorders>
            <w:shd w:val="clear" w:color="auto" w:fill="DBDBDB"/>
          </w:tcPr>
          <w:p>
            <w:pPr>
              <w:spacing w:after="0"/>
              <w:rPr>
                <w:sz w:val="19"/>
                <w:szCs w:val="19"/>
                <w:color w:val="auto"/>
              </w:rPr>
            </w:pPr>
          </w:p>
        </w:tc>
        <w:tc>
          <w:tcPr>
            <w:tcW w:w="1180" w:type="dxa"/>
            <w:vAlign w:val="bottom"/>
            <w:tcBorders>
              <w:bottom w:val="single" w:sz="8" w:color="123054"/>
              <w:right w:val="single" w:sz="8" w:color="123054"/>
            </w:tcBorders>
            <w:shd w:val="clear" w:color="auto" w:fill="DBDBDB"/>
          </w:tcPr>
          <w:p>
            <w:pPr>
              <w:spacing w:after="0"/>
              <w:rPr>
                <w:sz w:val="19"/>
                <w:szCs w:val="19"/>
                <w:color w:val="auto"/>
              </w:rPr>
            </w:pPr>
          </w:p>
        </w:tc>
        <w:tc>
          <w:tcPr>
            <w:tcW w:w="1020" w:type="dxa"/>
            <w:vAlign w:val="bottom"/>
            <w:tcBorders>
              <w:bottom w:val="single" w:sz="8" w:color="123054"/>
              <w:right w:val="single" w:sz="8" w:color="123054"/>
            </w:tcBorders>
            <w:shd w:val="clear" w:color="auto" w:fill="DBDBDB"/>
          </w:tcPr>
          <w:p>
            <w:pPr>
              <w:spacing w:after="0"/>
              <w:rPr>
                <w:sz w:val="19"/>
                <w:szCs w:val="19"/>
                <w:color w:val="auto"/>
              </w:rPr>
            </w:pPr>
          </w:p>
        </w:tc>
        <w:tc>
          <w:tcPr>
            <w:tcW w:w="900" w:type="dxa"/>
            <w:vAlign w:val="bottom"/>
            <w:tcBorders>
              <w:bottom w:val="single" w:sz="8" w:color="123054"/>
              <w:right w:val="single" w:sz="8" w:color="123054"/>
            </w:tcBorders>
            <w:shd w:val="clear" w:color="auto" w:fill="DBDBDB"/>
          </w:tcPr>
          <w:p>
            <w:pPr>
              <w:spacing w:after="0"/>
              <w:rPr>
                <w:sz w:val="19"/>
                <w:szCs w:val="19"/>
                <w:color w:val="auto"/>
              </w:rPr>
            </w:pPr>
          </w:p>
        </w:tc>
        <w:tc>
          <w:tcPr>
            <w:tcW w:w="920" w:type="dxa"/>
            <w:vAlign w:val="bottom"/>
            <w:tcBorders>
              <w:bottom w:val="single" w:sz="8" w:color="123054"/>
              <w:right w:val="single" w:sz="8" w:color="123054"/>
            </w:tcBorders>
            <w:shd w:val="clear" w:color="auto" w:fill="DBDBDB"/>
          </w:tcPr>
          <w:p>
            <w:pPr>
              <w:spacing w:after="0"/>
              <w:rPr>
                <w:sz w:val="19"/>
                <w:szCs w:val="19"/>
                <w:color w:val="auto"/>
              </w:rPr>
            </w:pPr>
          </w:p>
        </w:tc>
        <w:tc>
          <w:tcPr>
            <w:tcW w:w="920" w:type="dxa"/>
            <w:vAlign w:val="bottom"/>
            <w:tcBorders>
              <w:bottom w:val="single" w:sz="8" w:color="123054"/>
            </w:tcBorders>
            <w:shd w:val="clear" w:color="auto" w:fill="DBDBDB"/>
          </w:tcPr>
          <w:p>
            <w:pPr>
              <w:spacing w:after="0"/>
              <w:rPr>
                <w:sz w:val="19"/>
                <w:szCs w:val="19"/>
                <w:color w:val="auto"/>
              </w:rPr>
            </w:pPr>
          </w:p>
        </w:tc>
      </w:tr>
      <w:tr>
        <w:trPr>
          <w:trHeight w:val="236"/>
        </w:trPr>
        <w:tc>
          <w:tcPr>
            <w:tcW w:w="2640" w:type="dxa"/>
            <w:vAlign w:val="bottom"/>
            <w:tcBorders>
              <w:bottom w:val="single" w:sz="8" w:color="123054"/>
              <w:right w:val="single" w:sz="8" w:color="123054"/>
            </w:tcBorders>
          </w:tcPr>
          <w:p>
            <w:pPr>
              <w:ind w:left="1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w w:val="98"/>
              </w:rPr>
              <w:t>$825,538</w:t>
            </w:r>
          </w:p>
        </w:tc>
        <w:tc>
          <w:tcPr>
            <w:tcW w:w="118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rPr>
              <w:t>$814,533</w:t>
            </w:r>
          </w:p>
        </w:tc>
        <w:tc>
          <w:tcPr>
            <w:tcW w:w="1020" w:type="dxa"/>
            <w:vAlign w:val="bottom"/>
            <w:tcBorders>
              <w:bottom w:val="single" w:sz="8" w:color="123054"/>
              <w:right w:val="single" w:sz="8" w:color="123054"/>
            </w:tcBorders>
          </w:tcPr>
          <w:p>
            <w:pPr>
              <w:jc w:val="right"/>
              <w:ind w:right="59"/>
              <w:spacing w:after="0"/>
              <w:rPr>
                <w:sz w:val="20"/>
                <w:szCs w:val="20"/>
                <w:color w:val="auto"/>
              </w:rPr>
            </w:pPr>
            <w:r>
              <w:rPr>
                <w:rFonts w:ascii="Arial" w:cs="Arial" w:eastAsia="Arial" w:hAnsi="Arial"/>
                <w:sz w:val="16"/>
                <w:szCs w:val="16"/>
                <w:color w:val="auto"/>
              </w:rPr>
              <w:t>$780,202</w:t>
            </w:r>
          </w:p>
        </w:tc>
        <w:tc>
          <w:tcPr>
            <w:tcW w:w="900" w:type="dxa"/>
            <w:vAlign w:val="bottom"/>
            <w:tcBorders>
              <w:bottom w:val="single" w:sz="8" w:color="123054"/>
              <w:right w:val="single" w:sz="8" w:color="123054"/>
            </w:tcBorders>
          </w:tcPr>
          <w:p>
            <w:pPr>
              <w:jc w:val="right"/>
              <w:spacing w:after="0"/>
              <w:rPr>
                <w:sz w:val="20"/>
                <w:szCs w:val="20"/>
                <w:color w:val="auto"/>
              </w:rPr>
            </w:pPr>
            <w:r>
              <w:rPr>
                <w:rFonts w:ascii="Arial" w:cs="Arial" w:eastAsia="Arial" w:hAnsi="Arial"/>
                <w:sz w:val="16"/>
                <w:szCs w:val="16"/>
                <w:color w:val="auto"/>
              </w:rPr>
              <w:t>$631,802</w:t>
            </w:r>
          </w:p>
        </w:tc>
        <w:tc>
          <w:tcPr>
            <w:tcW w:w="92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w w:val="99"/>
              </w:rPr>
              <w:t>$7,053,882</w:t>
            </w:r>
          </w:p>
        </w:tc>
        <w:tc>
          <w:tcPr>
            <w:tcW w:w="920" w:type="dxa"/>
            <w:vAlign w:val="bottom"/>
            <w:tcBorders>
              <w:bottom w:val="single" w:sz="8" w:color="123054"/>
            </w:tcBorders>
          </w:tcPr>
          <w:p>
            <w:pPr>
              <w:jc w:val="center"/>
              <w:ind w:left="19"/>
              <w:spacing w:after="0"/>
              <w:rPr>
                <w:sz w:val="20"/>
                <w:szCs w:val="20"/>
                <w:color w:val="auto"/>
              </w:rPr>
            </w:pPr>
            <w:r>
              <w:rPr>
                <w:rFonts w:ascii="Arial" w:cs="Arial" w:eastAsia="Arial" w:hAnsi="Arial"/>
                <w:sz w:val="16"/>
                <w:szCs w:val="16"/>
                <w:color w:val="auto"/>
              </w:rPr>
              <w:t>$1,221,987</w:t>
            </w:r>
          </w:p>
        </w:tc>
      </w:tr>
    </w:tbl>
    <w:p>
      <w:pPr>
        <w:spacing w:after="0" w:line="185" w:lineRule="exact"/>
        <w:rPr>
          <w:sz w:val="20"/>
          <w:szCs w:val="20"/>
          <w:color w:val="auto"/>
        </w:rPr>
      </w:pPr>
    </w:p>
    <w:p>
      <w:pPr>
        <w:sectPr>
          <w:pgSz w:w="11900" w:h="16838" w:orient="portrait"/>
          <w:cols w:equalWidth="0" w:num="1">
            <w:col w:w="9760"/>
          </w:cols>
          <w:pgMar w:left="1440" w:top="85" w:right="699" w:bottom="0" w:gutter="0" w:footer="0" w:header="0"/>
        </w:sectPr>
      </w:pPr>
    </w:p>
    <w:p>
      <w:pPr>
        <w:ind w:left="620" w:right="1340" w:hanging="387"/>
        <w:spacing w:after="0" w:line="243" w:lineRule="auto"/>
        <w:tabs>
          <w:tab w:leader="none" w:pos="6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Cash incentive compensation calculations are based on cash incentive compensation targets achieved in2024fiscaldescribed in more detail under the heading “Annual Cash Incentive Compensation” above.</w:t>
      </w:r>
    </w:p>
    <w:p>
      <w:pPr>
        <w:sectPr>
          <w:pgSz w:w="11900" w:h="16838" w:orient="portrait"/>
          <w:cols w:equalWidth="0" w:num="1">
            <w:col w:w="9760"/>
          </w:cols>
          <w:pgMar w:left="1440" w:top="85" w:right="699" w:bottom="0" w:gutter="0" w:footer="0" w:header="0"/>
          <w:type w:val="continuous"/>
        </w:sectPr>
      </w:pPr>
    </w:p>
    <w:bookmarkStart w:id="55" w:name="page56"/>
    <w:bookmarkEnd w:id="55"/>
    <w:p>
      <w:pPr>
        <w:ind w:left="620" w:right="600" w:hanging="387"/>
        <w:spacing w:after="0" w:line="226" w:lineRule="auto"/>
        <w:tabs>
          <w:tab w:leader="none" w:pos="6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Calculated based on the closing stock price$54(.43) of the Company’s stock on the last trading day (December 27, 2024) of the Company 2024 fiscal year, and assuming that the Committee certifies performance at “Target” under the applicable award agreements for the performance-based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-247015</wp:posOffset>
            </wp:positionV>
            <wp:extent cx="6810375" cy="2042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2042160"/>
                    </a:xfrm>
                    <a:prstGeom prst="rect">
                      <a:avLst/>
                    </a:prstGeom>
                    <a:noFill/>
                  </pic:spPr>
                </pic:pic>
              </a:graphicData>
            </a:graphic>
          </wp:anchor>
        </w:drawing>
      </w:r>
    </w:p>
    <w:p>
      <w:pPr>
        <w:spacing w:after="0" w:line="284" w:lineRule="exact"/>
        <w:rPr>
          <w:sz w:val="20"/>
          <w:szCs w:val="20"/>
          <w:color w:val="auto"/>
        </w:rPr>
      </w:pPr>
    </w:p>
    <w:p>
      <w:pPr>
        <w:ind w:left="140" w:right="40"/>
        <w:spacing w:after="0" w:line="270" w:lineRule="auto"/>
        <w:rPr>
          <w:sz w:val="20"/>
          <w:szCs w:val="20"/>
          <w:color w:val="auto"/>
        </w:rPr>
      </w:pPr>
      <w:r>
        <w:rPr>
          <w:rFonts w:ascii="Arial" w:cs="Arial" w:eastAsia="Arial" w:hAnsi="Arial"/>
          <w:sz w:val="19"/>
          <w:szCs w:val="19"/>
          <w:color w:val="auto"/>
        </w:rPr>
        <w:t>In connection with Mr. Lynch's retirement in February 2024, the Company entered into a consulting agreement with Mr. Lynchpursuant to which Mr. Lynch served as a consultant to the Company following his retirement to assist with an orderly transition. The consulting agreement provides for, among other things: (i) a term of twelve months concluding on March 1, 2025; and (ii) a consulting fee of $125,000 per month payable by the Company to Mr. Lynch for the consulting services provided to the Company during the period of the consulting agreement, which consulting services include consultations with executive</w:t>
      </w: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391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839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right="220"/>
        <w:spacing w:after="0" w:line="286" w:lineRule="auto"/>
        <w:rPr>
          <w:sz w:val="20"/>
          <w:szCs w:val="20"/>
          <w:color w:val="auto"/>
        </w:rPr>
      </w:pPr>
      <w:r>
        <w:rPr>
          <w:rFonts w:ascii="Arial" w:cs="Arial" w:eastAsia="Arial" w:hAnsi="Arial"/>
          <w:sz w:val="20"/>
          <w:szCs w:val="20"/>
          <w:color w:val="auto"/>
        </w:rPr>
        <w:t>officers and other management personnel of the Company related to the business of the Company and assistance with leadership transitions at the Company.</w:t>
      </w:r>
    </w:p>
    <w:p>
      <w:pPr>
        <w:spacing w:after="0" w:line="167"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In connection with Mr. Casey's retirement in February 2025, Carter's and Mr. Casey entered into a Retirement Agreement and Release, dated February 20, 2025. Under the Retirement Agreement and Release, Mr. Casey received accelerated vesting of his outstanding unvested restricted stock awards and pro-rated vesting of his performance share awards issued in 2023 and 2024 (subject to the attainment of the performance metrics under those awards).</w:t>
      </w:r>
    </w:p>
    <w:p>
      <w:pPr>
        <w:sectPr>
          <w:pgSz w:w="11900" w:h="16838" w:orient="portrait"/>
          <w:cols w:equalWidth="0" w:num="1">
            <w:col w:w="9340"/>
          </w:cols>
          <w:pgMar w:left="1440" w:top="108" w:right="1119" w:bottom="1440" w:gutter="0" w:footer="0" w:header="0"/>
        </w:sectPr>
      </w:pPr>
    </w:p>
    <w:bookmarkStart w:id="56" w:name="page57"/>
    <w:bookmarkEnd w:id="56"/>
    <w:p>
      <w:pPr>
        <w:jc w:val="center"/>
        <w:ind w:right="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48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464820"/>
                    </a:xfrm>
                    <a:prstGeom prst="rect">
                      <a:avLst/>
                    </a:prstGeom>
                    <a:noFill/>
                  </pic:spPr>
                </pic:pic>
              </a:graphicData>
            </a:graphic>
          </wp:anchor>
        </w:drawing>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220"/>
          </w:cols>
          <w:pgMar w:left="1440" w:top="161" w:right="1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CHANGE OF CONTROL AND TERMINATION FOLLOWING CHANGE OF CONTROL</w:t>
      </w:r>
    </w:p>
    <w:p>
      <w:pPr>
        <w:spacing w:after="0" w:line="64" w:lineRule="exact"/>
        <w:rPr>
          <w:sz w:val="20"/>
          <w:szCs w:val="20"/>
          <w:color w:val="auto"/>
        </w:rPr>
      </w:pPr>
    </w:p>
    <w:p>
      <w:pPr>
        <w:ind w:left="140" w:right="60"/>
        <w:spacing w:after="0"/>
        <w:rPr>
          <w:sz w:val="20"/>
          <w:szCs w:val="20"/>
          <w:color w:val="auto"/>
        </w:rPr>
      </w:pPr>
      <w:r>
        <w:rPr>
          <w:rFonts w:ascii="Arial" w:cs="Arial" w:eastAsia="Arial" w:hAnsi="Arial"/>
          <w:sz w:val="20"/>
          <w:szCs w:val="20"/>
          <w:color w:val="auto"/>
        </w:rPr>
        <w:t>In the event of a change of control, which is defined under the Equity Incentive Plan and individual awards as a “Covered Transaction”, all unvested stock options and all unvested shares of time-based restricted stock will fully vest, and all unvested shares of performance-based restricted stock will vest at their respective “target” amounts. In addition, as described in more detail above under the heading “Severance Agreements with NEOs,” we have entered into certain agreements that may require us to make certain payments and provide certain benefits to our NEOs in the event of their termination in relation to a change of control (with “change of control” defined in each executive’s severance agreement).</w:t>
      </w:r>
    </w:p>
    <w:p>
      <w:pPr>
        <w:spacing w:after="0" w:line="172" w:lineRule="exact"/>
        <w:rPr>
          <w:sz w:val="20"/>
          <w:szCs w:val="20"/>
          <w:color w:val="auto"/>
        </w:rPr>
      </w:pPr>
    </w:p>
    <w:p>
      <w:pPr>
        <w:ind w:left="140" w:right="360"/>
        <w:spacing w:after="0" w:line="250" w:lineRule="auto"/>
        <w:rPr>
          <w:sz w:val="20"/>
          <w:szCs w:val="20"/>
          <w:color w:val="auto"/>
        </w:rPr>
      </w:pPr>
      <w:r>
        <w:rPr>
          <w:rFonts w:ascii="Arial" w:cs="Arial" w:eastAsia="Arial" w:hAnsi="Arial"/>
          <w:sz w:val="19"/>
          <w:szCs w:val="19"/>
          <w:color w:val="auto"/>
        </w:rPr>
        <w:t>For purposes of the table below, we have assumed that all unvested stock options, and all unvested shares of time-based restricted stock and performance-based restricted stock, have fully vested immediately prior to a change of control onDecember 28, 2024, the last day of fiscal2024, and that a termination without “Cause” (as defined under the Equity Incentive Plan) occurred immediately following a change of control onDecember 28, 2024.The estimated benefit amount for unvested options was calculated by multiplying the number of in-the-money unvested options held by the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applicable NEO by the difference between the closing price of our common stockDecemberon 27, 2024</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(which was the last trading day before the end of fiscal2024), as reported by the NYSE, which was</w:t>
      </w:r>
    </w:p>
    <w:p>
      <w:pPr>
        <w:ind w:left="140"/>
        <w:spacing w:after="0"/>
        <w:rPr>
          <w:sz w:val="20"/>
          <w:szCs w:val="20"/>
          <w:color w:val="auto"/>
        </w:rPr>
      </w:pPr>
      <w:r>
        <w:rPr>
          <w:rFonts w:ascii="Arial" w:cs="Arial" w:eastAsia="Arial" w:hAnsi="Arial"/>
          <w:sz w:val="19"/>
          <w:szCs w:val="19"/>
          <w:color w:val="auto"/>
        </w:rPr>
        <w:t>$54.43, and the exercise price of the option. The estimated benefit amount of unvested restricted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9"/>
          <w:szCs w:val="19"/>
          <w:color w:val="auto"/>
        </w:rPr>
        <w:t>was calculated by multiplying the number of restricted shares held by the applicable NEO by the closing</w:t>
      </w:r>
    </w:p>
    <w:p>
      <w:pPr>
        <w:ind w:left="140"/>
        <w:spacing w:after="0"/>
        <w:rPr>
          <w:sz w:val="20"/>
          <w:szCs w:val="20"/>
          <w:color w:val="auto"/>
        </w:rPr>
      </w:pPr>
      <w:r>
        <w:rPr>
          <w:rFonts w:ascii="Arial" w:cs="Arial" w:eastAsia="Arial" w:hAnsi="Arial"/>
          <w:sz w:val="20"/>
          <w:szCs w:val="20"/>
          <w:color w:val="auto"/>
        </w:rPr>
        <w:t>price of our common stock onDecember 27, 2024(which was the last trading day before the end of</w:t>
      </w:r>
    </w:p>
    <w:p>
      <w:pPr>
        <w:ind w:left="140"/>
        <w:spacing w:after="0"/>
        <w:rPr>
          <w:sz w:val="20"/>
          <w:szCs w:val="20"/>
          <w:color w:val="auto"/>
        </w:rPr>
      </w:pPr>
      <w:r>
        <w:rPr>
          <w:rFonts w:ascii="Arial" w:cs="Arial" w:eastAsia="Arial" w:hAnsi="Arial"/>
          <w:sz w:val="20"/>
          <w:szCs w:val="20"/>
          <w:color w:val="auto"/>
        </w:rPr>
        <w:t>fiscal 2024), as reported by the NYSE, which was$54.43. As noted in our Compensation Discussion &amp;</w:t>
      </w:r>
    </w:p>
    <w:p>
      <w:pPr>
        <w:ind w:left="140"/>
        <w:spacing w:after="0" w:line="237" w:lineRule="auto"/>
        <w:rPr>
          <w:sz w:val="20"/>
          <w:szCs w:val="20"/>
          <w:color w:val="auto"/>
        </w:rPr>
      </w:pPr>
      <w:r>
        <w:rPr>
          <w:rFonts w:ascii="Arial" w:cs="Arial" w:eastAsia="Arial" w:hAnsi="Arial"/>
          <w:sz w:val="19"/>
          <w:szCs w:val="19"/>
          <w:color w:val="auto"/>
        </w:rPr>
        <w:t>Analysis section, ffectivee February 15, 2024, the Company amended its Equity Incentive Plan to include</w:t>
      </w:r>
    </w:p>
    <w:p>
      <w:pPr>
        <w:ind w:left="140"/>
        <w:spacing w:after="0"/>
        <w:rPr>
          <w:sz w:val="20"/>
          <w:szCs w:val="20"/>
          <w:color w:val="auto"/>
        </w:rPr>
      </w:pPr>
      <w:r>
        <w:rPr>
          <w:rFonts w:ascii="Arial" w:cs="Arial" w:eastAsia="Arial" w:hAnsi="Arial"/>
          <w:sz w:val="20"/>
          <w:szCs w:val="20"/>
          <w:color w:val="auto"/>
        </w:rPr>
        <w:t>double-trigger change of control provisions to more closely-align the Company's pay practices with</w:t>
      </w:r>
    </w:p>
    <w:p>
      <w:pPr>
        <w:ind w:left="140"/>
        <w:spacing w:after="0"/>
        <w:rPr>
          <w:sz w:val="20"/>
          <w:szCs w:val="20"/>
          <w:color w:val="auto"/>
        </w:rPr>
      </w:pPr>
      <w:r>
        <w:rPr>
          <w:rFonts w:ascii="Arial" w:cs="Arial" w:eastAsia="Arial" w:hAnsi="Arial"/>
          <w:sz w:val="20"/>
          <w:szCs w:val="20"/>
          <w:color w:val="auto"/>
        </w:rPr>
        <w:t>market practice. For equity awards in fiscal 2024 and beyond, the vesting of the awards will be</w:t>
      </w:r>
    </w:p>
    <w:p>
      <w:pPr>
        <w:ind w:left="140"/>
        <w:spacing w:after="0"/>
        <w:rPr>
          <w:sz w:val="20"/>
          <w:szCs w:val="20"/>
          <w:color w:val="auto"/>
        </w:rPr>
      </w:pPr>
      <w:r>
        <w:rPr>
          <w:rFonts w:ascii="Arial" w:cs="Arial" w:eastAsia="Arial" w:hAnsi="Arial"/>
          <w:sz w:val="20"/>
          <w:szCs w:val="20"/>
          <w:color w:val="auto"/>
        </w:rPr>
        <w:t>accelerated if either (1) the surviving entity does not provide replacement awards that meet criteria as</w:t>
      </w:r>
    </w:p>
    <w:p>
      <w:pPr>
        <w:ind w:left="140"/>
        <w:spacing w:after="0" w:line="225" w:lineRule="auto"/>
        <w:rPr>
          <w:sz w:val="20"/>
          <w:szCs w:val="20"/>
          <w:color w:val="auto"/>
        </w:rPr>
      </w:pPr>
      <w:r>
        <w:rPr>
          <w:rFonts w:ascii="Arial" w:cs="Arial" w:eastAsia="Arial" w:hAnsi="Arial"/>
          <w:sz w:val="20"/>
          <w:szCs w:val="20"/>
          <w:color w:val="auto"/>
        </w:rPr>
        <w:t>set forth in the Equity Incentive Plan or, if applicable, the award agreement (referred to as “qualifying</w:t>
      </w:r>
    </w:p>
    <w:p>
      <w:pPr>
        <w:ind w:left="140"/>
        <w:spacing w:after="0"/>
        <w:rPr>
          <w:sz w:val="20"/>
          <w:szCs w:val="20"/>
          <w:color w:val="auto"/>
        </w:rPr>
      </w:pPr>
      <w:r>
        <w:rPr>
          <w:rFonts w:ascii="Arial" w:cs="Arial" w:eastAsia="Arial" w:hAnsi="Arial"/>
          <w:sz w:val="20"/>
          <w:szCs w:val="20"/>
          <w:color w:val="auto"/>
        </w:rPr>
        <w:t>replacement awards”), or (2) the surviving entity provides qualifying replacement awards, but there is a</w:t>
      </w:r>
    </w:p>
    <w:p>
      <w:pPr>
        <w:ind w:left="140"/>
        <w:spacing w:after="0"/>
        <w:rPr>
          <w:sz w:val="20"/>
          <w:szCs w:val="20"/>
          <w:color w:val="auto"/>
        </w:rPr>
      </w:pPr>
      <w:r>
        <w:rPr>
          <w:rFonts w:ascii="Arial" w:cs="Arial" w:eastAsia="Arial" w:hAnsi="Arial"/>
          <w:sz w:val="19"/>
          <w:szCs w:val="19"/>
          <w:color w:val="auto"/>
        </w:rPr>
        <w:t>termination of employment for Cause or resignation for Good Reason (as defined in the Equity Incentive</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Plan) within two years after the change in control.</w:t>
      </w:r>
    </w:p>
    <w:p>
      <w:pPr>
        <w:spacing w:after="0" w:line="184" w:lineRule="exact"/>
        <w:rPr>
          <w:sz w:val="20"/>
          <w:szCs w:val="20"/>
          <w:color w:val="auto"/>
        </w:rPr>
      </w:pPr>
    </w:p>
    <w:p>
      <w:pPr>
        <w:ind w:left="140" w:right="40"/>
        <w:spacing w:after="0" w:line="244" w:lineRule="auto"/>
        <w:rPr>
          <w:sz w:val="20"/>
          <w:szCs w:val="20"/>
          <w:color w:val="auto"/>
        </w:rPr>
      </w:pPr>
      <w:r>
        <w:rPr>
          <w:rFonts w:ascii="Arial" w:cs="Arial" w:eastAsia="Arial" w:hAnsi="Arial"/>
          <w:sz w:val="20"/>
          <w:szCs w:val="20"/>
          <w:color w:val="auto"/>
        </w:rPr>
        <w:t>There can be no assurance that a change of control would produce the same or similar results as those set forth below on any other date or at any other price. These amounts do not include vested stock options, vested shares of time-based restricted stock, or vested shares of performance-based restricted stock. For a list of earned vested stock options, see the “Outstanding Equity Awards at Fiscal 2024 Year-End” table beginning on page57.</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740" w:type="dxa"/>
            <w:vAlign w:val="bottom"/>
            <w:tcBorders>
              <w:right w:val="single" w:sz="8" w:color="123054"/>
            </w:tcBorders>
            <w:shd w:val="clear" w:color="auto" w:fill="123054"/>
          </w:tcPr>
          <w:p>
            <w:pPr>
              <w:spacing w:after="0"/>
              <w:rPr>
                <w:sz w:val="17"/>
                <w:szCs w:val="17"/>
                <w:color w:val="auto"/>
              </w:rPr>
            </w:pPr>
          </w:p>
        </w:tc>
        <w:tc>
          <w:tcPr>
            <w:tcW w:w="1220" w:type="dxa"/>
            <w:vAlign w:val="bottom"/>
            <w:tcBorders>
              <w:right w:val="single" w:sz="8" w:color="123054"/>
            </w:tcBorders>
            <w:shd w:val="clear" w:color="auto" w:fill="123054"/>
          </w:tcPr>
          <w:p>
            <w:pPr>
              <w:ind w:left="320"/>
              <w:spacing w:after="0"/>
              <w:rPr>
                <w:sz w:val="20"/>
                <w:szCs w:val="20"/>
                <w:color w:val="auto"/>
              </w:rPr>
            </w:pPr>
            <w:r>
              <w:rPr>
                <w:rFonts w:ascii="Arial" w:cs="Arial" w:eastAsia="Arial" w:hAnsi="Arial"/>
                <w:sz w:val="16"/>
                <w:szCs w:val="16"/>
                <w:b w:val="1"/>
                <w:bCs w:val="1"/>
                <w:color w:val="FBFBFB"/>
              </w:rPr>
              <w:t>Richard</w:t>
            </w:r>
          </w:p>
        </w:tc>
        <w:tc>
          <w:tcPr>
            <w:tcW w:w="12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Kendra</w:t>
            </w:r>
          </w:p>
        </w:tc>
        <w:tc>
          <w:tcPr>
            <w:tcW w:w="12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Allison</w:t>
            </w:r>
          </w:p>
        </w:tc>
        <w:tc>
          <w:tcPr>
            <w:tcW w:w="12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Raghu</w:t>
            </w:r>
          </w:p>
        </w:tc>
        <w:tc>
          <w:tcPr>
            <w:tcW w:w="12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Michael</w:t>
            </w:r>
          </w:p>
        </w:tc>
        <w:tc>
          <w:tcPr>
            <w:tcW w:w="860" w:type="dxa"/>
            <w:vAlign w:val="bottom"/>
            <w:shd w:val="clear" w:color="auto" w:fill="123054"/>
          </w:tcPr>
          <w:p>
            <w:pPr>
              <w:jc w:val="center"/>
              <w:spacing w:after="0"/>
              <w:rPr>
                <w:sz w:val="20"/>
                <w:szCs w:val="20"/>
                <w:color w:val="auto"/>
              </w:rPr>
            </w:pPr>
            <w:r>
              <w:rPr>
                <w:rFonts w:ascii="Arial" w:cs="Arial" w:eastAsia="Arial" w:hAnsi="Arial"/>
                <w:sz w:val="16"/>
                <w:szCs w:val="16"/>
                <w:b w:val="1"/>
                <w:bCs w:val="1"/>
                <w:color w:val="FBFBFB"/>
              </w:rPr>
              <w:t>Brian</w:t>
            </w:r>
          </w:p>
        </w:tc>
      </w:tr>
      <w:tr>
        <w:trPr>
          <w:trHeight w:val="162"/>
        </w:trPr>
        <w:tc>
          <w:tcPr>
            <w:tcW w:w="1740" w:type="dxa"/>
            <w:vAlign w:val="bottom"/>
            <w:tcBorders>
              <w:right w:val="single" w:sz="8" w:color="123054"/>
            </w:tcBorders>
            <w:shd w:val="clear" w:color="auto" w:fill="123054"/>
          </w:tcPr>
          <w:p>
            <w:pPr>
              <w:spacing w:after="0"/>
              <w:rPr>
                <w:sz w:val="14"/>
                <w:szCs w:val="14"/>
                <w:color w:val="auto"/>
              </w:rPr>
            </w:pPr>
          </w:p>
        </w:tc>
        <w:tc>
          <w:tcPr>
            <w:tcW w:w="1220" w:type="dxa"/>
            <w:vAlign w:val="bottom"/>
            <w:tcBorders>
              <w:right w:val="single" w:sz="8" w:color="123054"/>
            </w:tcBorders>
            <w:shd w:val="clear" w:color="auto" w:fill="123054"/>
          </w:tcPr>
          <w:p>
            <w:pPr>
              <w:ind w:left="520"/>
              <w:spacing w:after="0" w:line="162" w:lineRule="exact"/>
              <w:rPr>
                <w:sz w:val="20"/>
                <w:szCs w:val="20"/>
                <w:color w:val="auto"/>
              </w:rPr>
            </w:pPr>
            <w:r>
              <w:rPr>
                <w:rFonts w:ascii="Arial" w:cs="Arial" w:eastAsia="Arial" w:hAnsi="Arial"/>
                <w:sz w:val="16"/>
                <w:szCs w:val="16"/>
                <w:b w:val="1"/>
                <w:bCs w:val="1"/>
                <w:color w:val="FBFBFB"/>
              </w:rPr>
              <w:t>F.</w:t>
            </w:r>
          </w:p>
        </w:tc>
        <w:tc>
          <w:tcPr>
            <w:tcW w:w="126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D.</w:t>
            </w:r>
          </w:p>
        </w:tc>
        <w:tc>
          <w:tcPr>
            <w:tcW w:w="1240" w:type="dxa"/>
            <w:vAlign w:val="bottom"/>
            <w:tcBorders>
              <w:right w:val="single" w:sz="8" w:color="123054"/>
            </w:tcBorders>
            <w:shd w:val="clear" w:color="auto" w:fill="123054"/>
          </w:tcPr>
          <w:p>
            <w:pPr>
              <w:ind w:left="520"/>
              <w:spacing w:after="0" w:line="162" w:lineRule="exact"/>
              <w:rPr>
                <w:sz w:val="20"/>
                <w:szCs w:val="20"/>
                <w:color w:val="auto"/>
              </w:rPr>
            </w:pPr>
            <w:r>
              <w:rPr>
                <w:rFonts w:ascii="Arial" w:cs="Arial" w:eastAsia="Arial" w:hAnsi="Arial"/>
                <w:sz w:val="16"/>
                <w:szCs w:val="16"/>
                <w:b w:val="1"/>
                <w:bCs w:val="1"/>
                <w:color w:val="FBFBFB"/>
              </w:rPr>
              <w:t>M.</w:t>
            </w:r>
          </w:p>
        </w:tc>
        <w:tc>
          <w:tcPr>
            <w:tcW w:w="122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R.</w:t>
            </w:r>
          </w:p>
        </w:tc>
        <w:tc>
          <w:tcPr>
            <w:tcW w:w="1240" w:type="dxa"/>
            <w:vAlign w:val="bottom"/>
            <w:tcBorders>
              <w:right w:val="single" w:sz="8" w:color="123054"/>
            </w:tcBorders>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99"/>
              </w:rPr>
              <w:t>D.</w:t>
            </w:r>
          </w:p>
        </w:tc>
        <w:tc>
          <w:tcPr>
            <w:tcW w:w="860" w:type="dxa"/>
            <w:vAlign w:val="bottom"/>
            <w:shd w:val="clear" w:color="auto" w:fill="123054"/>
          </w:tcPr>
          <w:p>
            <w:pPr>
              <w:jc w:val="center"/>
              <w:spacing w:after="0" w:line="162" w:lineRule="exact"/>
              <w:rPr>
                <w:sz w:val="20"/>
                <w:szCs w:val="20"/>
                <w:color w:val="auto"/>
              </w:rPr>
            </w:pPr>
            <w:r>
              <w:rPr>
                <w:rFonts w:ascii="Arial" w:cs="Arial" w:eastAsia="Arial" w:hAnsi="Arial"/>
                <w:sz w:val="16"/>
                <w:szCs w:val="16"/>
                <w:b w:val="1"/>
                <w:bCs w:val="1"/>
                <w:color w:val="FBFBFB"/>
                <w:w w:val="89"/>
              </w:rPr>
              <w:t>J.</w:t>
            </w:r>
          </w:p>
        </w:tc>
      </w:tr>
      <w:tr>
        <w:trPr>
          <w:trHeight w:val="216"/>
        </w:trPr>
        <w:tc>
          <w:tcPr>
            <w:tcW w:w="1740" w:type="dxa"/>
            <w:vAlign w:val="bottom"/>
            <w:tcBorders>
              <w:right w:val="single" w:sz="8" w:color="123054"/>
            </w:tcBorders>
            <w:shd w:val="clear" w:color="auto" w:fill="123054"/>
          </w:tcPr>
          <w:p>
            <w:pPr>
              <w:spacing w:after="0"/>
              <w:rPr>
                <w:sz w:val="18"/>
                <w:szCs w:val="18"/>
                <w:color w:val="auto"/>
              </w:rPr>
            </w:pPr>
          </w:p>
        </w:tc>
        <w:tc>
          <w:tcPr>
            <w:tcW w:w="12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w w:val="99"/>
              </w:rPr>
              <w:t>Westenberger</w:t>
            </w:r>
          </w:p>
        </w:tc>
        <w:tc>
          <w:tcPr>
            <w:tcW w:w="12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Krugman</w:t>
            </w:r>
          </w:p>
        </w:tc>
        <w:tc>
          <w:tcPr>
            <w:tcW w:w="12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Peterson</w:t>
            </w:r>
          </w:p>
        </w:tc>
        <w:tc>
          <w:tcPr>
            <w:tcW w:w="122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Sagi</w:t>
            </w:r>
          </w:p>
        </w:tc>
        <w:tc>
          <w:tcPr>
            <w:tcW w:w="12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6"/>
                <w:szCs w:val="16"/>
                <w:b w:val="1"/>
                <w:bCs w:val="1"/>
                <w:color w:val="FBFBFB"/>
              </w:rPr>
              <w:t>Casey</w:t>
            </w:r>
          </w:p>
        </w:tc>
        <w:tc>
          <w:tcPr>
            <w:tcW w:w="860" w:type="dxa"/>
            <w:vAlign w:val="bottom"/>
            <w:shd w:val="clear" w:color="auto" w:fill="123054"/>
          </w:tcPr>
          <w:p>
            <w:pPr>
              <w:jc w:val="center"/>
              <w:spacing w:after="0"/>
              <w:rPr>
                <w:sz w:val="20"/>
                <w:szCs w:val="20"/>
                <w:color w:val="auto"/>
              </w:rPr>
            </w:pPr>
            <w:r>
              <w:rPr>
                <w:rFonts w:ascii="Arial" w:cs="Arial" w:eastAsia="Arial" w:hAnsi="Arial"/>
                <w:sz w:val="16"/>
                <w:szCs w:val="16"/>
                <w:b w:val="1"/>
                <w:bCs w:val="1"/>
                <w:color w:val="FBFBFB"/>
              </w:rPr>
              <w:t>Lynch</w:t>
            </w:r>
          </w:p>
        </w:tc>
      </w:tr>
      <w:tr>
        <w:trPr>
          <w:trHeight w:val="216"/>
        </w:trPr>
        <w:tc>
          <w:tcPr>
            <w:tcW w:w="1740" w:type="dxa"/>
            <w:vAlign w:val="bottom"/>
            <w:tcBorders>
              <w:right w:val="single" w:sz="8" w:color="123054"/>
            </w:tcBorders>
          </w:tcPr>
          <w:p>
            <w:pPr>
              <w:ind w:left="140"/>
              <w:spacing w:after="0"/>
              <w:rPr>
                <w:sz w:val="20"/>
                <w:szCs w:val="20"/>
                <w:color w:val="auto"/>
              </w:rPr>
            </w:pPr>
            <w:r>
              <w:rPr>
                <w:rFonts w:ascii="Arial" w:cs="Arial" w:eastAsia="Arial" w:hAnsi="Arial"/>
                <w:sz w:val="16"/>
                <w:szCs w:val="16"/>
                <w:color w:val="auto"/>
              </w:rPr>
              <w:t>Base Salary</w:t>
            </w:r>
          </w:p>
        </w:tc>
        <w:tc>
          <w:tcPr>
            <w:tcW w:w="12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$1,550,000</w:t>
            </w:r>
          </w:p>
        </w:tc>
        <w:tc>
          <w:tcPr>
            <w:tcW w:w="12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$1,550,000</w:t>
            </w:r>
          </w:p>
        </w:tc>
        <w:tc>
          <w:tcPr>
            <w:tcW w:w="12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$1,500,000</w:t>
            </w:r>
          </w:p>
        </w:tc>
        <w:tc>
          <w:tcPr>
            <w:tcW w:w="12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$1,200,000</w:t>
            </w:r>
          </w:p>
        </w:tc>
        <w:tc>
          <w:tcPr>
            <w:tcW w:w="12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w w:val="99"/>
              </w:rPr>
              <w:t>$4,020,000</w:t>
            </w:r>
          </w:p>
        </w:tc>
        <w:tc>
          <w:tcPr>
            <w:tcW w:w="860" w:type="dxa"/>
            <w:vAlign w:val="bottom"/>
          </w:tcPr>
          <w:p>
            <w:pPr>
              <w:jc w:val="center"/>
              <w:spacing w:after="0"/>
              <w:rPr>
                <w:sz w:val="20"/>
                <w:szCs w:val="20"/>
                <w:color w:val="auto"/>
              </w:rPr>
            </w:pPr>
            <w:r>
              <w:rPr>
                <w:rFonts w:ascii="Arial" w:cs="Arial" w:eastAsia="Arial" w:hAnsi="Arial"/>
                <w:sz w:val="16"/>
                <w:szCs w:val="16"/>
                <w:color w:val="auto"/>
                <w:w w:val="96"/>
              </w:rPr>
              <w:t>$—</w:t>
            </w:r>
          </w:p>
        </w:tc>
      </w:tr>
      <w:tr>
        <w:trPr>
          <w:trHeight w:val="189"/>
        </w:trPr>
        <w:tc>
          <w:tcPr>
            <w:tcW w:w="17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16"/>
                <w:szCs w:val="16"/>
                <w:color w:val="auto"/>
              </w:rPr>
              <w:t>Cash Incentive</w:t>
            </w:r>
          </w:p>
        </w:tc>
        <w:tc>
          <w:tcPr>
            <w:tcW w:w="122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33,000</w:t>
            </w:r>
          </w:p>
        </w:tc>
        <w:tc>
          <w:tcPr>
            <w:tcW w:w="126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33,000</w:t>
            </w:r>
          </w:p>
        </w:tc>
        <w:tc>
          <w:tcPr>
            <w:tcW w:w="12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13,700</w:t>
            </w:r>
          </w:p>
        </w:tc>
        <w:tc>
          <w:tcPr>
            <w:tcW w:w="122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15,300</w:t>
            </w:r>
          </w:p>
        </w:tc>
        <w:tc>
          <w:tcPr>
            <w:tcW w:w="1240" w:type="dxa"/>
            <w:vAlign w:val="bottom"/>
            <w:tcBorders>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100,500</w:t>
            </w:r>
          </w:p>
        </w:tc>
        <w:tc>
          <w:tcPr>
            <w:tcW w:w="860" w:type="dxa"/>
            <w:vAlign w:val="bottom"/>
            <w:shd w:val="clear" w:color="auto" w:fill="E4E4E4"/>
          </w:tcPr>
          <w:p>
            <w:pPr>
              <w:jc w:val="center"/>
              <w:spacing w:after="0"/>
              <w:rPr>
                <w:sz w:val="20"/>
                <w:szCs w:val="20"/>
                <w:color w:val="auto"/>
              </w:rPr>
            </w:pPr>
            <w:r>
              <w:rPr>
                <w:rFonts w:ascii="Arial" w:cs="Arial" w:eastAsia="Arial" w:hAnsi="Arial"/>
                <w:sz w:val="16"/>
                <w:szCs w:val="16"/>
                <w:color w:val="auto"/>
                <w:w w:val="99"/>
              </w:rPr>
              <w:t>—</w:t>
            </w:r>
          </w:p>
        </w:tc>
      </w:tr>
      <w:tr>
        <w:trPr>
          <w:trHeight w:val="230"/>
        </w:trPr>
        <w:tc>
          <w:tcPr>
            <w:tcW w:w="1740" w:type="dxa"/>
            <w:vAlign w:val="bottom"/>
            <w:tcBorders>
              <w:right w:val="single" w:sz="8" w:color="123054"/>
            </w:tcBorders>
            <w:shd w:val="clear" w:color="auto" w:fill="E4E4E4"/>
          </w:tcPr>
          <w:p>
            <w:pPr>
              <w:ind w:left="140"/>
              <w:spacing w:after="0"/>
              <w:rPr>
                <w:sz w:val="20"/>
                <w:szCs w:val="20"/>
                <w:color w:val="auto"/>
              </w:rPr>
            </w:pPr>
            <w:r>
              <w:rPr>
                <w:rFonts w:ascii="Arial" w:cs="Arial" w:eastAsia="Arial" w:hAnsi="Arial"/>
                <w:sz w:val="16"/>
                <w:szCs w:val="16"/>
                <w:color w:val="auto"/>
              </w:rPr>
              <w:t>Compensation (a)</w:t>
            </w:r>
          </w:p>
        </w:tc>
        <w:tc>
          <w:tcPr>
            <w:tcW w:w="1220" w:type="dxa"/>
            <w:vAlign w:val="bottom"/>
            <w:tcBorders>
              <w:right w:val="single" w:sz="8" w:color="123054"/>
            </w:tcBorders>
            <w:shd w:val="clear" w:color="auto" w:fill="E4E4E4"/>
          </w:tcPr>
          <w:p>
            <w:pPr>
              <w:spacing w:after="0"/>
              <w:rPr>
                <w:sz w:val="19"/>
                <w:szCs w:val="19"/>
                <w:color w:val="auto"/>
              </w:rPr>
            </w:pPr>
          </w:p>
        </w:tc>
        <w:tc>
          <w:tcPr>
            <w:tcW w:w="1260" w:type="dxa"/>
            <w:vAlign w:val="bottom"/>
            <w:tcBorders>
              <w:right w:val="single" w:sz="8" w:color="123054"/>
            </w:tcBorders>
            <w:shd w:val="clear" w:color="auto" w:fill="E4E4E4"/>
          </w:tcPr>
          <w:p>
            <w:pPr>
              <w:spacing w:after="0"/>
              <w:rPr>
                <w:sz w:val="19"/>
                <w:szCs w:val="19"/>
                <w:color w:val="auto"/>
              </w:rPr>
            </w:pPr>
          </w:p>
        </w:tc>
        <w:tc>
          <w:tcPr>
            <w:tcW w:w="1240" w:type="dxa"/>
            <w:vAlign w:val="bottom"/>
            <w:tcBorders>
              <w:right w:val="single" w:sz="8" w:color="123054"/>
            </w:tcBorders>
            <w:shd w:val="clear" w:color="auto" w:fill="E4E4E4"/>
          </w:tcPr>
          <w:p>
            <w:pPr>
              <w:spacing w:after="0"/>
              <w:rPr>
                <w:sz w:val="19"/>
                <w:szCs w:val="19"/>
                <w:color w:val="auto"/>
              </w:rPr>
            </w:pPr>
          </w:p>
        </w:tc>
        <w:tc>
          <w:tcPr>
            <w:tcW w:w="1220" w:type="dxa"/>
            <w:vAlign w:val="bottom"/>
            <w:tcBorders>
              <w:right w:val="single" w:sz="8" w:color="123054"/>
            </w:tcBorders>
            <w:shd w:val="clear" w:color="auto" w:fill="E4E4E4"/>
          </w:tcPr>
          <w:p>
            <w:pPr>
              <w:spacing w:after="0"/>
              <w:rPr>
                <w:sz w:val="19"/>
                <w:szCs w:val="19"/>
                <w:color w:val="auto"/>
              </w:rPr>
            </w:pPr>
          </w:p>
        </w:tc>
        <w:tc>
          <w:tcPr>
            <w:tcW w:w="1240" w:type="dxa"/>
            <w:vAlign w:val="bottom"/>
            <w:tcBorders>
              <w:right w:val="single" w:sz="8" w:color="123054"/>
            </w:tcBorders>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r>
      <w:tr>
        <w:trPr>
          <w:trHeight w:val="189"/>
        </w:trPr>
        <w:tc>
          <w:tcPr>
            <w:tcW w:w="1740" w:type="dxa"/>
            <w:vAlign w:val="bottom"/>
            <w:tcBorders>
              <w:right w:val="single" w:sz="8" w:color="123054"/>
            </w:tcBorders>
          </w:tcPr>
          <w:p>
            <w:pPr>
              <w:ind w:left="140"/>
              <w:spacing w:after="0"/>
              <w:rPr>
                <w:sz w:val="20"/>
                <w:szCs w:val="20"/>
                <w:color w:val="auto"/>
              </w:rPr>
            </w:pPr>
            <w:r>
              <w:rPr>
                <w:rFonts w:ascii="Arial" w:cs="Arial" w:eastAsia="Arial" w:hAnsi="Arial"/>
                <w:sz w:val="16"/>
                <w:szCs w:val="16"/>
                <w:color w:val="auto"/>
              </w:rPr>
              <w:t>Health and Other</w:t>
            </w:r>
          </w:p>
        </w:tc>
        <w:tc>
          <w:tcPr>
            <w:tcW w:w="12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35,075</w:t>
            </w:r>
          </w:p>
        </w:tc>
        <w:tc>
          <w:tcPr>
            <w:tcW w:w="126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13,066</w:t>
            </w:r>
          </w:p>
        </w:tc>
        <w:tc>
          <w:tcPr>
            <w:tcW w:w="12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33,004</w:t>
            </w:r>
          </w:p>
        </w:tc>
        <w:tc>
          <w:tcPr>
            <w:tcW w:w="122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33,004</w:t>
            </w:r>
          </w:p>
        </w:tc>
        <w:tc>
          <w:tcPr>
            <w:tcW w:w="1240" w:type="dxa"/>
            <w:vAlign w:val="bottom"/>
            <w:tcBorders>
              <w:right w:val="single" w:sz="8" w:color="123054"/>
            </w:tcBorders>
          </w:tcPr>
          <w:p>
            <w:pPr>
              <w:jc w:val="center"/>
              <w:spacing w:after="0"/>
              <w:rPr>
                <w:sz w:val="20"/>
                <w:szCs w:val="20"/>
                <w:color w:val="auto"/>
              </w:rPr>
            </w:pPr>
            <w:r>
              <w:rPr>
                <w:rFonts w:ascii="Arial" w:cs="Arial" w:eastAsia="Arial" w:hAnsi="Arial"/>
                <w:sz w:val="16"/>
                <w:szCs w:val="16"/>
                <w:color w:val="auto"/>
              </w:rPr>
              <w:t>52,609</w:t>
            </w:r>
          </w:p>
        </w:tc>
        <w:tc>
          <w:tcPr>
            <w:tcW w:w="860" w:type="dxa"/>
            <w:vAlign w:val="bottom"/>
          </w:tcPr>
          <w:p>
            <w:pPr>
              <w:jc w:val="center"/>
              <w:spacing w:after="0"/>
              <w:rPr>
                <w:sz w:val="20"/>
                <w:szCs w:val="20"/>
                <w:color w:val="auto"/>
              </w:rPr>
            </w:pPr>
            <w:r>
              <w:rPr>
                <w:rFonts w:ascii="Arial" w:cs="Arial" w:eastAsia="Arial" w:hAnsi="Arial"/>
                <w:sz w:val="16"/>
                <w:szCs w:val="16"/>
                <w:color w:val="auto"/>
              </w:rPr>
              <w:t>26,525</w:t>
            </w:r>
          </w:p>
        </w:tc>
      </w:tr>
      <w:tr>
        <w:trPr>
          <w:trHeight w:val="222"/>
        </w:trPr>
        <w:tc>
          <w:tcPr>
            <w:tcW w:w="1740" w:type="dxa"/>
            <w:vAlign w:val="bottom"/>
            <w:tcBorders>
              <w:right w:val="single" w:sz="8" w:color="123054"/>
            </w:tcBorders>
          </w:tcPr>
          <w:p>
            <w:pPr>
              <w:ind w:left="140"/>
              <w:spacing w:after="0"/>
              <w:rPr>
                <w:sz w:val="20"/>
                <w:szCs w:val="20"/>
                <w:color w:val="auto"/>
              </w:rPr>
            </w:pPr>
            <w:r>
              <w:rPr>
                <w:rFonts w:ascii="Arial" w:cs="Arial" w:eastAsia="Arial" w:hAnsi="Arial"/>
                <w:sz w:val="16"/>
                <w:szCs w:val="16"/>
                <w:color w:val="auto"/>
              </w:rPr>
              <w:t>Benefits</w:t>
            </w:r>
          </w:p>
        </w:tc>
        <w:tc>
          <w:tcPr>
            <w:tcW w:w="1220" w:type="dxa"/>
            <w:vAlign w:val="bottom"/>
            <w:tcBorders>
              <w:right w:val="single" w:sz="8" w:color="123054"/>
            </w:tcBorders>
          </w:tcPr>
          <w:p>
            <w:pPr>
              <w:spacing w:after="0"/>
              <w:rPr>
                <w:sz w:val="19"/>
                <w:szCs w:val="19"/>
                <w:color w:val="auto"/>
              </w:rPr>
            </w:pPr>
          </w:p>
        </w:tc>
        <w:tc>
          <w:tcPr>
            <w:tcW w:w="1260" w:type="dxa"/>
            <w:vAlign w:val="bottom"/>
            <w:tcBorders>
              <w:right w:val="single" w:sz="8" w:color="123054"/>
            </w:tcBorders>
          </w:tcPr>
          <w:p>
            <w:pPr>
              <w:spacing w:after="0"/>
              <w:rPr>
                <w:sz w:val="19"/>
                <w:szCs w:val="19"/>
                <w:color w:val="auto"/>
              </w:rPr>
            </w:pPr>
          </w:p>
        </w:tc>
        <w:tc>
          <w:tcPr>
            <w:tcW w:w="1240" w:type="dxa"/>
            <w:vAlign w:val="bottom"/>
            <w:tcBorders>
              <w:right w:val="single" w:sz="8" w:color="123054"/>
            </w:tcBorders>
          </w:tcPr>
          <w:p>
            <w:pPr>
              <w:spacing w:after="0"/>
              <w:rPr>
                <w:sz w:val="19"/>
                <w:szCs w:val="19"/>
                <w:color w:val="auto"/>
              </w:rPr>
            </w:pPr>
          </w:p>
        </w:tc>
        <w:tc>
          <w:tcPr>
            <w:tcW w:w="1220" w:type="dxa"/>
            <w:vAlign w:val="bottom"/>
            <w:tcBorders>
              <w:right w:val="single" w:sz="8" w:color="123054"/>
            </w:tcBorders>
          </w:tcPr>
          <w:p>
            <w:pPr>
              <w:spacing w:after="0"/>
              <w:rPr>
                <w:sz w:val="19"/>
                <w:szCs w:val="19"/>
                <w:color w:val="auto"/>
              </w:rPr>
            </w:pPr>
          </w:p>
        </w:tc>
        <w:tc>
          <w:tcPr>
            <w:tcW w:w="1240" w:type="dxa"/>
            <w:vAlign w:val="bottom"/>
            <w:tcBorders>
              <w:right w:val="single" w:sz="8" w:color="123054"/>
            </w:tcBorders>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1740" w:type="dxa"/>
            <w:vAlign w:val="bottom"/>
            <w:tcBorders>
              <w:bottom w:val="single" w:sz="8" w:color="123054"/>
              <w:right w:val="single" w:sz="8" w:color="123054"/>
            </w:tcBorders>
            <w:shd w:val="clear" w:color="auto" w:fill="E4E4E4"/>
          </w:tcPr>
          <w:p>
            <w:pPr>
              <w:ind w:left="140"/>
              <w:spacing w:after="0"/>
              <w:rPr>
                <w:sz w:val="20"/>
                <w:szCs w:val="20"/>
                <w:color w:val="auto"/>
              </w:rPr>
            </w:pPr>
            <w:r>
              <w:rPr>
                <w:rFonts w:ascii="Arial" w:cs="Arial" w:eastAsia="Arial" w:hAnsi="Arial"/>
                <w:sz w:val="16"/>
                <w:szCs w:val="16"/>
                <w:color w:val="auto"/>
              </w:rPr>
              <w:t>Stock Value</w:t>
            </w:r>
          </w:p>
        </w:tc>
        <w:tc>
          <w:tcPr>
            <w:tcW w:w="1220" w:type="dxa"/>
            <w:vAlign w:val="bottom"/>
            <w:tcBorders>
              <w:bottom w:val="single" w:sz="8" w:color="123054"/>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1,264,844</w:t>
            </w:r>
          </w:p>
        </w:tc>
        <w:tc>
          <w:tcPr>
            <w:tcW w:w="1260" w:type="dxa"/>
            <w:vAlign w:val="bottom"/>
            <w:tcBorders>
              <w:bottom w:val="single" w:sz="8" w:color="123054"/>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1,711,279</w:t>
            </w:r>
          </w:p>
        </w:tc>
        <w:tc>
          <w:tcPr>
            <w:tcW w:w="1240" w:type="dxa"/>
            <w:vAlign w:val="bottom"/>
            <w:tcBorders>
              <w:bottom w:val="single" w:sz="8" w:color="123054"/>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2,172,846</w:t>
            </w:r>
          </w:p>
        </w:tc>
        <w:tc>
          <w:tcPr>
            <w:tcW w:w="1220" w:type="dxa"/>
            <w:vAlign w:val="bottom"/>
            <w:tcBorders>
              <w:bottom w:val="single" w:sz="8" w:color="123054"/>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788,364</w:t>
            </w:r>
          </w:p>
        </w:tc>
        <w:tc>
          <w:tcPr>
            <w:tcW w:w="1240" w:type="dxa"/>
            <w:vAlign w:val="bottom"/>
            <w:tcBorders>
              <w:bottom w:val="single" w:sz="8" w:color="123054"/>
              <w:right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rPr>
              <w:t>5,822,976</w:t>
            </w:r>
          </w:p>
        </w:tc>
        <w:tc>
          <w:tcPr>
            <w:tcW w:w="860" w:type="dxa"/>
            <w:vAlign w:val="bottom"/>
            <w:tcBorders>
              <w:bottom w:val="single" w:sz="8" w:color="123054"/>
            </w:tcBorders>
            <w:shd w:val="clear" w:color="auto" w:fill="E4E4E4"/>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740" w:type="dxa"/>
            <w:vAlign w:val="bottom"/>
            <w:tcBorders>
              <w:bottom w:val="single" w:sz="8" w:color="123054"/>
              <w:right w:val="single" w:sz="8" w:color="123054"/>
            </w:tcBorders>
          </w:tcPr>
          <w:p>
            <w:pPr>
              <w:ind w:left="14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rPr>
              <w:t>$2,882,919</w:t>
            </w:r>
          </w:p>
        </w:tc>
        <w:tc>
          <w:tcPr>
            <w:tcW w:w="126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rPr>
              <w:t>$3,307,345</w:t>
            </w:r>
          </w:p>
        </w:tc>
        <w:tc>
          <w:tcPr>
            <w:tcW w:w="124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w w:val="99"/>
              </w:rPr>
              <w:t>$3,719,550</w:t>
            </w:r>
          </w:p>
        </w:tc>
        <w:tc>
          <w:tcPr>
            <w:tcW w:w="122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rPr>
              <w:t>$2,036,668</w:t>
            </w:r>
          </w:p>
        </w:tc>
        <w:tc>
          <w:tcPr>
            <w:tcW w:w="124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6"/>
                <w:szCs w:val="16"/>
                <w:color w:val="auto"/>
                <w:w w:val="99"/>
              </w:rPr>
              <w:t>$9,996,085</w:t>
            </w:r>
          </w:p>
        </w:tc>
        <w:tc>
          <w:tcPr>
            <w:tcW w:w="860" w:type="dxa"/>
            <w:vAlign w:val="bottom"/>
            <w:tcBorders>
              <w:bottom w:val="single" w:sz="8" w:color="123054"/>
            </w:tcBorders>
          </w:tcPr>
          <w:p>
            <w:pPr>
              <w:jc w:val="center"/>
              <w:spacing w:after="0"/>
              <w:rPr>
                <w:sz w:val="20"/>
                <w:szCs w:val="20"/>
                <w:color w:val="auto"/>
              </w:rPr>
            </w:pPr>
            <w:r>
              <w:rPr>
                <w:rFonts w:ascii="Arial" w:cs="Arial" w:eastAsia="Arial" w:hAnsi="Arial"/>
                <w:sz w:val="16"/>
                <w:szCs w:val="16"/>
                <w:color w:val="auto"/>
              </w:rPr>
              <w:t>$26,525</w:t>
            </w:r>
          </w:p>
        </w:tc>
      </w:tr>
    </w:tbl>
    <w:p>
      <w:pPr>
        <w:spacing w:after="0" w:line="185" w:lineRule="exact"/>
        <w:rPr>
          <w:sz w:val="20"/>
          <w:szCs w:val="20"/>
          <w:color w:val="auto"/>
        </w:rPr>
      </w:pPr>
    </w:p>
    <w:p>
      <w:pPr>
        <w:ind w:left="620" w:right="800" w:hanging="387"/>
        <w:spacing w:after="0" w:line="243" w:lineRule="auto"/>
        <w:tabs>
          <w:tab w:leader="none" w:pos="614" w:val="left"/>
        </w:tabs>
        <w:numPr>
          <w:ilvl w:val="0"/>
          <w:numId w:val="68"/>
        </w:numPr>
        <w:rPr>
          <w:rFonts w:ascii="Arial" w:cs="Arial" w:eastAsia="Arial" w:hAnsi="Arial"/>
          <w:sz w:val="13"/>
          <w:szCs w:val="13"/>
          <w:color w:val="auto"/>
        </w:rPr>
      </w:pPr>
      <w:r>
        <w:rPr>
          <w:rFonts w:ascii="Arial" w:cs="Arial" w:eastAsia="Arial" w:hAnsi="Arial"/>
          <w:sz w:val="13"/>
          <w:szCs w:val="13"/>
          <w:color w:val="auto"/>
        </w:rPr>
        <w:t>Cash incentive compensation calculations are based on cash incentive compensation targets achieved in2024fiscaldescribed in more detail under the heading “Annual Cash Incentive Compensation”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019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1019175"/>
                    </a:xfrm>
                    <a:prstGeom prst="rect">
                      <a:avLst/>
                    </a:prstGeom>
                    <a:noFill/>
                  </pic:spPr>
                </pic:pic>
              </a:graphicData>
            </a:graphic>
          </wp:anchor>
        </w:drawing>
      </w:r>
    </w:p>
    <w:p>
      <w:pPr>
        <w:sectPr>
          <w:pgSz w:w="11900" w:h="16838" w:orient="portrait"/>
          <w:cols w:equalWidth="0" w:num="1">
            <w:col w:w="9220"/>
          </w:cols>
          <w:pgMar w:left="1440" w:top="161" w:right="1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Arial" w:cs="Arial" w:eastAsia="Arial" w:hAnsi="Arial"/>
          <w:sz w:val="31"/>
          <w:szCs w:val="31"/>
          <w:b w:val="1"/>
          <w:bCs w:val="1"/>
          <w:color w:val="123054"/>
        </w:rPr>
        <w:t>PAY RATIO DISCLOSURE</w:t>
      </w:r>
    </w:p>
    <w:p>
      <w:pPr>
        <w:sectPr>
          <w:pgSz w:w="11900" w:h="16838" w:orient="portrait"/>
          <w:cols w:equalWidth="0" w:num="1">
            <w:col w:w="9220"/>
          </w:cols>
          <w:pgMar w:left="1440" w:top="161" w:right="1239" w:bottom="0" w:gutter="0" w:footer="0" w:header="0"/>
          <w:type w:val="continuous"/>
        </w:sectPr>
      </w:pPr>
    </w:p>
    <w:bookmarkStart w:id="57" w:name="page58"/>
    <w:bookmarkEnd w:id="57"/>
    <w:p>
      <w:pPr>
        <w:ind w:left="140" w:right="40"/>
        <w:spacing w:after="0"/>
        <w:rPr>
          <w:sz w:val="20"/>
          <w:szCs w:val="20"/>
          <w:color w:val="auto"/>
        </w:rPr>
      </w:pPr>
      <w:r>
        <w:rPr>
          <w:rFonts w:ascii="Arial" w:cs="Arial" w:eastAsia="Arial" w:hAnsi="Arial"/>
          <w:sz w:val="20"/>
          <w:szCs w:val="20"/>
          <w:color w:val="auto"/>
        </w:rPr>
        <w:t>The following information about the relationship between the compensation of our employees and the compensation of Mr. Casey, our former Chief Executive Officer (our Principal Executive Officer, or “PEO,” for fiscal 2024), is provided in compliance with the requirements of Item 402(u) of Regulation S-K (the “Pay Ratio Disclosure Requirement”). In fiscal 2024, the total compensation of our median-compensated employee was$12,008.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-706755</wp:posOffset>
            </wp:positionV>
            <wp:extent cx="6810375" cy="78371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7837170"/>
                    </a:xfrm>
                    <a:prstGeom prst="rect">
                      <a:avLst/>
                    </a:prstGeom>
                    <a:noFill/>
                  </pic:spPr>
                </pic:pic>
              </a:graphicData>
            </a:graphic>
          </wp:anchor>
        </w:drawing>
      </w:r>
    </w:p>
    <w:p>
      <w:pPr>
        <w:spacing w:after="0" w:line="154" w:lineRule="exact"/>
        <w:rPr>
          <w:sz w:val="20"/>
          <w:szCs w:val="20"/>
          <w:color w:val="auto"/>
        </w:rPr>
      </w:pPr>
    </w:p>
    <w:p>
      <w:pPr>
        <w:ind w:left="140" w:right="760"/>
        <w:spacing w:after="0" w:line="271" w:lineRule="auto"/>
        <w:rPr>
          <w:sz w:val="20"/>
          <w:szCs w:val="20"/>
          <w:color w:val="auto"/>
        </w:rPr>
      </w:pPr>
      <w:r>
        <w:rPr>
          <w:rFonts w:ascii="Arial" w:cs="Arial" w:eastAsia="Arial" w:hAnsi="Arial"/>
          <w:sz w:val="20"/>
          <w:szCs w:val="20"/>
          <w:color w:val="auto"/>
        </w:rPr>
        <w:t>We selected a new Median Employee in fiscal2024 due to last year’s median employee’s substantial change in hours worked for the Company.</w:t>
      </w:r>
    </w:p>
    <w:p>
      <w:pPr>
        <w:spacing w:after="0" w:line="142" w:lineRule="exact"/>
        <w:rPr>
          <w:sz w:val="20"/>
          <w:szCs w:val="20"/>
          <w:color w:val="auto"/>
        </w:rPr>
      </w:pPr>
    </w:p>
    <w:p>
      <w:pPr>
        <w:ind w:left="140"/>
        <w:spacing w:after="0" w:line="254" w:lineRule="auto"/>
        <w:rPr>
          <w:sz w:val="20"/>
          <w:szCs w:val="20"/>
          <w:color w:val="auto"/>
        </w:rPr>
      </w:pPr>
      <w:r>
        <w:rPr>
          <w:rFonts w:ascii="Arial" w:cs="Arial" w:eastAsia="Arial" w:hAnsi="Arial"/>
          <w:sz w:val="19"/>
          <w:szCs w:val="19"/>
          <w:color w:val="auto"/>
        </w:rPr>
        <w:t>Our Median Employee is a part-time employee at one of our U.S. retail store locations whose annual total compensation for fiscal2024 (as calculated pursuant to Item 402(c)(2)(x) of Regulation S-K) $was12,008.</w:t>
      </w:r>
    </w:p>
    <w:p>
      <w:pPr>
        <w:spacing w:after="0" w:line="1" w:lineRule="exact"/>
        <w:rPr>
          <w:sz w:val="20"/>
          <w:szCs w:val="20"/>
          <w:color w:val="auto"/>
        </w:rPr>
      </w:pPr>
    </w:p>
    <w:p>
      <w:pPr>
        <w:ind w:left="140" w:right="300"/>
        <w:spacing w:after="0" w:line="253" w:lineRule="auto"/>
        <w:rPr>
          <w:sz w:val="20"/>
          <w:szCs w:val="20"/>
          <w:color w:val="auto"/>
        </w:rPr>
      </w:pPr>
      <w:r>
        <w:rPr>
          <w:rFonts w:ascii="Arial" w:cs="Arial" w:eastAsia="Arial" w:hAnsi="Arial"/>
          <w:sz w:val="20"/>
          <w:szCs w:val="20"/>
          <w:color w:val="auto"/>
        </w:rPr>
        <w:t>The annual total compensation for fiscal2024 for our PEO was$9,146,769. The resulting ratio of our PEO’s pay to the pay of our Median Employee for fiscal2024 was762:1.</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METHODOLOGY TO IDENTIFY OUR MEDIAN EMPLOYEE</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order to identify our Median Employee, we began with a list of all of our employees, world-wide, who</w:t>
      </w:r>
    </w:p>
    <w:p>
      <w:pPr>
        <w:spacing w:after="0" w:line="18" w:lineRule="exact"/>
        <w:rPr>
          <w:sz w:val="20"/>
          <w:szCs w:val="20"/>
          <w:color w:val="auto"/>
        </w:rPr>
      </w:pPr>
    </w:p>
    <w:p>
      <w:pPr>
        <w:ind w:left="140" w:right="420"/>
        <w:spacing w:after="0" w:line="256" w:lineRule="auto"/>
        <w:rPr>
          <w:sz w:val="20"/>
          <w:szCs w:val="20"/>
          <w:color w:val="auto"/>
        </w:rPr>
      </w:pPr>
      <w:r>
        <w:rPr>
          <w:rFonts w:ascii="Arial" w:cs="Arial" w:eastAsia="Arial" w:hAnsi="Arial"/>
          <w:sz w:val="19"/>
          <w:szCs w:val="19"/>
          <w:color w:val="auto"/>
        </w:rPr>
        <w:t>were employed by Carter’s or one of its wholly-owned subsidiariesOctoberon 1, 2024.Of these employees, approximately37% were full-time employees,47% were part- time employees, and 15% were seasonal or temporary employees. Approximately 75% of our employees were employed in our retail stores in North America, and approximately 79% of those retail employees were part-time.</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We then calculated each employee’s compensation 2024for. When making this calculation, we:</w:t>
      </w:r>
    </w:p>
    <w:p>
      <w:pPr>
        <w:spacing w:after="0" w:line="67" w:lineRule="exact"/>
        <w:rPr>
          <w:sz w:val="20"/>
          <w:szCs w:val="20"/>
          <w:color w:val="auto"/>
        </w:rPr>
      </w:pPr>
    </w:p>
    <w:p>
      <w:pPr>
        <w:ind w:left="420" w:right="800" w:hanging="187"/>
        <w:spacing w:after="0" w:line="271" w:lineRule="auto"/>
        <w:tabs>
          <w:tab w:leader="none" w:pos="420" w:val="left"/>
        </w:tabs>
        <w:numPr>
          <w:ilvl w:val="0"/>
          <w:numId w:val="69"/>
        </w:numPr>
        <w:rPr>
          <w:rFonts w:ascii="Arial" w:cs="Arial" w:eastAsia="Arial" w:hAnsi="Arial"/>
          <w:sz w:val="20"/>
          <w:szCs w:val="20"/>
          <w:color w:val="123054"/>
        </w:rPr>
      </w:pPr>
      <w:r>
        <w:rPr>
          <w:rFonts w:ascii="Arial" w:cs="Arial" w:eastAsia="Arial" w:hAnsi="Arial"/>
          <w:sz w:val="20"/>
          <w:szCs w:val="20"/>
          <w:color w:val="auto"/>
        </w:rPr>
        <w:t>consistently used each employee’s total salary for the2024 calendar year as stated on the gross compensation line on their Form W-2 (or international equivalent);</w:t>
      </w:r>
    </w:p>
    <w:p>
      <w:pPr>
        <w:spacing w:after="0" w:line="47" w:lineRule="exact"/>
        <w:rPr>
          <w:rFonts w:ascii="Arial" w:cs="Arial" w:eastAsia="Arial" w:hAnsi="Arial"/>
          <w:sz w:val="20"/>
          <w:szCs w:val="20"/>
          <w:color w:val="123054"/>
        </w:rPr>
      </w:pPr>
    </w:p>
    <w:p>
      <w:pPr>
        <w:ind w:left="420" w:right="380" w:hanging="187"/>
        <w:spacing w:after="0" w:line="257" w:lineRule="auto"/>
        <w:tabs>
          <w:tab w:leader="none" w:pos="420" w:val="left"/>
        </w:tabs>
        <w:numPr>
          <w:ilvl w:val="0"/>
          <w:numId w:val="69"/>
        </w:numPr>
        <w:rPr>
          <w:rFonts w:ascii="Arial" w:cs="Arial" w:eastAsia="Arial" w:hAnsi="Arial"/>
          <w:sz w:val="20"/>
          <w:szCs w:val="20"/>
          <w:color w:val="123054"/>
        </w:rPr>
      </w:pPr>
      <w:r>
        <w:rPr>
          <w:rFonts w:ascii="Arial" w:cs="Arial" w:eastAsia="Arial" w:hAnsi="Arial"/>
          <w:sz w:val="20"/>
          <w:szCs w:val="20"/>
          <w:color w:val="auto"/>
        </w:rPr>
        <w:t>annualized salaries for those full-time and part-time employees that were not employed for the full calendar year of2024 (but we did not annualize seasonal or temporary employee data);</w:t>
      </w:r>
    </w:p>
    <w:p>
      <w:pPr>
        <w:spacing w:after="0" w:line="60" w:lineRule="exact"/>
        <w:rPr>
          <w:rFonts w:ascii="Arial" w:cs="Arial" w:eastAsia="Arial" w:hAnsi="Arial"/>
          <w:sz w:val="20"/>
          <w:szCs w:val="20"/>
          <w:color w:val="123054"/>
        </w:rPr>
      </w:pPr>
    </w:p>
    <w:p>
      <w:pPr>
        <w:ind w:left="420" w:hanging="187"/>
        <w:spacing w:after="0"/>
        <w:tabs>
          <w:tab w:leader="none" w:pos="420" w:val="left"/>
        </w:tabs>
        <w:numPr>
          <w:ilvl w:val="0"/>
          <w:numId w:val="69"/>
        </w:numPr>
        <w:rPr>
          <w:rFonts w:ascii="Arial" w:cs="Arial" w:eastAsia="Arial" w:hAnsi="Arial"/>
          <w:sz w:val="20"/>
          <w:szCs w:val="20"/>
          <w:color w:val="123054"/>
        </w:rPr>
      </w:pPr>
      <w:r>
        <w:rPr>
          <w:rFonts w:ascii="Arial" w:cs="Arial" w:eastAsia="Arial" w:hAnsi="Arial"/>
          <w:sz w:val="20"/>
          <w:szCs w:val="20"/>
          <w:color w:val="auto"/>
        </w:rPr>
        <w:t>excluded benefits, such as health care contributions; and</w:t>
      </w:r>
    </w:p>
    <w:p>
      <w:pPr>
        <w:spacing w:after="0" w:line="80" w:lineRule="exact"/>
        <w:rPr>
          <w:rFonts w:ascii="Arial" w:cs="Arial" w:eastAsia="Arial" w:hAnsi="Arial"/>
          <w:sz w:val="20"/>
          <w:szCs w:val="20"/>
          <w:color w:val="123054"/>
        </w:rPr>
      </w:pPr>
    </w:p>
    <w:p>
      <w:pPr>
        <w:ind w:left="420" w:hanging="187"/>
        <w:spacing w:after="0"/>
        <w:tabs>
          <w:tab w:leader="none" w:pos="420" w:val="left"/>
        </w:tabs>
        <w:numPr>
          <w:ilvl w:val="0"/>
          <w:numId w:val="69"/>
        </w:numPr>
        <w:rPr>
          <w:rFonts w:ascii="Arial" w:cs="Arial" w:eastAsia="Arial" w:hAnsi="Arial"/>
          <w:sz w:val="20"/>
          <w:szCs w:val="20"/>
          <w:color w:val="123054"/>
        </w:rPr>
      </w:pPr>
      <w:r>
        <w:rPr>
          <w:rFonts w:ascii="Arial" w:cs="Arial" w:eastAsia="Arial" w:hAnsi="Arial"/>
          <w:sz w:val="20"/>
          <w:szCs w:val="20"/>
          <w:color w:val="auto"/>
        </w:rPr>
        <w:t>for compensation paid in currencies other than U.S. dollars, applied an exchange rate into</w:t>
      </w:r>
    </w:p>
    <w:p>
      <w:pPr>
        <w:spacing w:after="0" w:line="4" w:lineRule="exact"/>
        <w:rPr>
          <w:rFonts w:ascii="Arial" w:cs="Arial" w:eastAsia="Arial" w:hAnsi="Arial"/>
          <w:sz w:val="20"/>
          <w:szCs w:val="20"/>
          <w:color w:val="123054"/>
        </w:rPr>
      </w:pPr>
    </w:p>
    <w:p>
      <w:pPr>
        <w:ind w:left="420"/>
        <w:spacing w:after="0"/>
        <w:rPr>
          <w:rFonts w:ascii="Arial" w:cs="Arial" w:eastAsia="Arial" w:hAnsi="Arial"/>
          <w:sz w:val="20"/>
          <w:szCs w:val="20"/>
          <w:color w:val="123054"/>
        </w:rPr>
      </w:pPr>
      <w:r>
        <w:rPr>
          <w:rFonts w:ascii="Arial" w:cs="Arial" w:eastAsia="Arial" w:hAnsi="Arial"/>
          <w:sz w:val="20"/>
          <w:szCs w:val="20"/>
          <w:color w:val="auto"/>
        </w:rPr>
        <w:t>U.S. dollars that was based on rates published by xe.comOctoberon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596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PAY VERSUS PERFORMANCE DISCLOSURE</w:t>
      </w:r>
    </w:p>
    <w:p>
      <w:pPr>
        <w:spacing w:after="0" w:line="181" w:lineRule="exact"/>
        <w:rPr>
          <w:sz w:val="20"/>
          <w:szCs w:val="20"/>
          <w:color w:val="auto"/>
        </w:rPr>
      </w:pPr>
    </w:p>
    <w:p>
      <w:pPr>
        <w:ind w:left="140" w:right="500"/>
        <w:spacing w:after="0" w:line="255" w:lineRule="auto"/>
        <w:rPr>
          <w:sz w:val="20"/>
          <w:szCs w:val="20"/>
          <w:color w:val="auto"/>
        </w:rPr>
      </w:pPr>
      <w:r>
        <w:rPr>
          <w:rFonts w:ascii="Arial" w:cs="Arial" w:eastAsia="Arial" w:hAnsi="Arial"/>
          <w:sz w:val="20"/>
          <w:szCs w:val="20"/>
          <w:color w:val="auto"/>
        </w:rPr>
        <w:t>As required by Section 953(a) of the Dodd-Frank Act and Item 402(v) of Regulation S-K, the table summarizing executive compensation paid versus financial performance measures for our five most recently completed fiscal years is set forth below:</w:t>
      </w:r>
    </w:p>
    <w:p>
      <w:pPr>
        <w:spacing w:after="0" w:line="134"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right"/>
              <w:ind w:right="125"/>
              <w:spacing w:after="0"/>
              <w:rPr>
                <w:sz w:val="20"/>
                <w:szCs w:val="20"/>
                <w:color w:val="auto"/>
              </w:rPr>
            </w:pPr>
            <w:r>
              <w:rPr>
                <w:rFonts w:ascii="Arial" w:cs="Arial" w:eastAsia="Arial" w:hAnsi="Arial"/>
                <w:sz w:val="13"/>
                <w:szCs w:val="13"/>
                <w:b w:val="1"/>
                <w:bCs w:val="1"/>
                <w:color w:val="FBFBFB"/>
              </w:rPr>
              <w:t>Value of Initial Fixed $100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165"/>
              <w:spacing w:after="0"/>
              <w:rPr>
                <w:sz w:val="20"/>
                <w:szCs w:val="20"/>
                <w:color w:val="auto"/>
              </w:rPr>
            </w:pPr>
            <w:r>
              <w:rPr>
                <w:rFonts w:ascii="Arial" w:cs="Arial" w:eastAsia="Arial" w:hAnsi="Arial"/>
                <w:sz w:val="13"/>
                <w:szCs w:val="13"/>
                <w:b w:val="1"/>
                <w:bCs w:val="1"/>
                <w:color w:val="FBFBFB"/>
              </w:rPr>
              <w:t>investment based 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FBFBFB"/>
                <w:w w:val="97"/>
              </w:rPr>
              <w:t>Average</w:t>
            </w:r>
          </w:p>
        </w:tc>
        <w:tc>
          <w:tcPr>
            <w:tcW w:w="120" w:type="dxa"/>
            <w:vAlign w:val="bottom"/>
          </w:tcPr>
          <w:p>
            <w:pPr>
              <w:spacing w:after="0"/>
              <w:rPr>
                <w:sz w:val="24"/>
                <w:szCs w:val="24"/>
                <w:color w:val="auto"/>
              </w:rPr>
            </w:pPr>
          </w:p>
        </w:tc>
        <w:tc>
          <w:tcPr>
            <w:tcW w:w="94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FBFBFB"/>
                <w:w w:val="97"/>
              </w:rPr>
              <w:t>Average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b w:val="1"/>
                <w:bCs w:val="1"/>
                <w:color w:val="FBFBFB"/>
              </w:rPr>
              <w:t>Adjusted</w:t>
            </w: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FBFBFB"/>
                <w:w w:val="94"/>
              </w:rPr>
              <w:t>Summary</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77"/>
              <w:spacing w:after="0" w:line="126" w:lineRule="exact"/>
              <w:rPr>
                <w:sz w:val="20"/>
                <w:szCs w:val="20"/>
                <w:color w:val="auto"/>
              </w:rPr>
            </w:pPr>
            <w:r>
              <w:rPr>
                <w:rFonts w:ascii="Arial" w:cs="Arial" w:eastAsia="Arial" w:hAnsi="Arial"/>
                <w:sz w:val="13"/>
                <w:szCs w:val="13"/>
                <w:b w:val="1"/>
                <w:bCs w:val="1"/>
                <w:color w:val="FBFBFB"/>
                <w:w w:val="97"/>
              </w:rPr>
              <w:t>Summary</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45"/>
              <w:spacing w:after="0"/>
              <w:rPr>
                <w:sz w:val="20"/>
                <w:szCs w:val="20"/>
                <w:color w:val="auto"/>
              </w:rPr>
            </w:pPr>
            <w:r>
              <w:rPr>
                <w:rFonts w:ascii="Arial" w:cs="Arial" w:eastAsia="Arial" w:hAnsi="Arial"/>
                <w:sz w:val="13"/>
                <w:szCs w:val="13"/>
                <w:b w:val="1"/>
                <w:bCs w:val="1"/>
                <w:color w:val="FBFBFB"/>
              </w:rPr>
              <w:t>Peer Group</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jc w:val="center"/>
              <w:ind w:left="60"/>
              <w:spacing w:after="0" w:line="126" w:lineRule="exact"/>
              <w:rPr>
                <w:sz w:val="20"/>
                <w:szCs w:val="20"/>
                <w:color w:val="auto"/>
              </w:rPr>
            </w:pPr>
            <w:r>
              <w:rPr>
                <w:rFonts w:ascii="Arial" w:cs="Arial" w:eastAsia="Arial" w:hAnsi="Arial"/>
                <w:sz w:val="13"/>
                <w:szCs w:val="13"/>
                <w:b w:val="1"/>
                <w:bCs w:val="1"/>
                <w:color w:val="FBFBFB"/>
                <w:w w:val="94"/>
              </w:rPr>
              <w:t>Operating</w:t>
            </w: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7"/>
              <w:spacing w:after="0"/>
              <w:rPr>
                <w:sz w:val="20"/>
                <w:szCs w:val="20"/>
                <w:color w:val="auto"/>
              </w:rPr>
            </w:pPr>
            <w:r>
              <w:rPr>
                <w:rFonts w:ascii="Arial" w:cs="Arial" w:eastAsia="Arial" w:hAnsi="Arial"/>
                <w:sz w:val="13"/>
                <w:szCs w:val="13"/>
                <w:b w:val="1"/>
                <w:bCs w:val="1"/>
                <w:color w:val="FBFBFB"/>
                <w:w w:val="97"/>
              </w:rPr>
              <w:t>Compensation</w:t>
            </w: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FBFBFB"/>
                <w:w w:val="97"/>
              </w:rPr>
              <w:t>Compensation</w:t>
            </w:r>
          </w:p>
        </w:tc>
        <w:tc>
          <w:tcPr>
            <w:tcW w:w="120" w:type="dxa"/>
            <w:vAlign w:val="bottom"/>
          </w:tcPr>
          <w:p>
            <w:pPr>
              <w:spacing w:after="0"/>
              <w:rPr>
                <w:sz w:val="10"/>
                <w:szCs w:val="10"/>
                <w:color w:val="auto"/>
              </w:rPr>
            </w:pPr>
          </w:p>
        </w:tc>
        <w:tc>
          <w:tcPr>
            <w:tcW w:w="940" w:type="dxa"/>
            <w:vAlign w:val="bottom"/>
          </w:tcPr>
          <w:p>
            <w:pPr>
              <w:jc w:val="center"/>
              <w:ind w:right="4"/>
              <w:spacing w:after="0" w:line="122" w:lineRule="exact"/>
              <w:rPr>
                <w:sz w:val="20"/>
                <w:szCs w:val="20"/>
                <w:color w:val="auto"/>
              </w:rPr>
            </w:pPr>
            <w:r>
              <w:rPr>
                <w:rFonts w:ascii="Arial" w:cs="Arial" w:eastAsia="Arial" w:hAnsi="Arial"/>
                <w:sz w:val="13"/>
                <w:szCs w:val="13"/>
                <w:b w:val="1"/>
                <w:bCs w:val="1"/>
                <w:color w:val="FBFBFB"/>
                <w:w w:val="97"/>
              </w:rPr>
              <w:t>Compensation</w:t>
            </w:r>
          </w:p>
        </w:tc>
        <w:tc>
          <w:tcPr>
            <w:tcW w:w="140" w:type="dxa"/>
            <w:vAlign w:val="bottom"/>
          </w:tcPr>
          <w:p>
            <w:pPr>
              <w:spacing w:after="0"/>
              <w:rPr>
                <w:sz w:val="10"/>
                <w:szCs w:val="10"/>
                <w:color w:val="auto"/>
              </w:rPr>
            </w:pPr>
          </w:p>
        </w:tc>
        <w:tc>
          <w:tcPr>
            <w:tcW w:w="840" w:type="dxa"/>
            <w:vAlign w:val="bottom"/>
            <w:vMerge w:val="restart"/>
          </w:tcPr>
          <w:p>
            <w:pPr>
              <w:jc w:val="right"/>
              <w:ind w:right="264"/>
              <w:spacing w:after="0"/>
              <w:rPr>
                <w:sz w:val="20"/>
                <w:szCs w:val="20"/>
                <w:color w:val="auto"/>
              </w:rPr>
            </w:pPr>
            <w:r>
              <w:rPr>
                <w:rFonts w:ascii="Arial" w:cs="Arial" w:eastAsia="Arial" w:hAnsi="Arial"/>
                <w:sz w:val="13"/>
                <w:szCs w:val="13"/>
                <w:b w:val="1"/>
                <w:bCs w:val="1"/>
                <w:color w:val="FBFBFB"/>
              </w:rPr>
              <w:t>Total</w:t>
            </w: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7"/>
              <w:spacing w:after="0"/>
              <w:rPr>
                <w:sz w:val="20"/>
                <w:szCs w:val="20"/>
                <w:color w:val="auto"/>
              </w:rPr>
            </w:pPr>
            <w:r>
              <w:rPr>
                <w:rFonts w:ascii="Arial" w:cs="Arial" w:eastAsia="Arial" w:hAnsi="Arial"/>
                <w:sz w:val="13"/>
                <w:szCs w:val="13"/>
                <w:b w:val="1"/>
                <w:bCs w:val="1"/>
                <w:color w:val="FBFBFB"/>
                <w:w w:val="96"/>
              </w:rPr>
              <w:t>Net Income</w:t>
            </w:r>
          </w:p>
        </w:tc>
        <w:tc>
          <w:tcPr>
            <w:tcW w:w="820" w:type="dxa"/>
            <w:vAlign w:val="bottom"/>
          </w:tcPr>
          <w:p>
            <w:pPr>
              <w:jc w:val="center"/>
              <w:ind w:left="40"/>
              <w:spacing w:after="0" w:line="122" w:lineRule="exact"/>
              <w:rPr>
                <w:sz w:val="20"/>
                <w:szCs w:val="20"/>
                <w:color w:val="auto"/>
              </w:rPr>
            </w:pPr>
            <w:r>
              <w:rPr>
                <w:rFonts w:ascii="Arial" w:cs="Arial" w:eastAsia="Arial" w:hAnsi="Arial"/>
                <w:sz w:val="13"/>
                <w:szCs w:val="13"/>
                <w:b w:val="1"/>
                <w:bCs w:val="1"/>
                <w:color w:val="FBFBFB"/>
                <w:w w:val="96"/>
              </w:rPr>
              <w:t>Income</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FBFBFB"/>
                <w:w w:val="97"/>
              </w:rPr>
              <w:t>Compensation</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FBFBFB"/>
                <w:w w:val="95"/>
              </w:rPr>
              <w:t>Table Total for</w:t>
            </w:r>
          </w:p>
        </w:tc>
        <w:tc>
          <w:tcPr>
            <w:tcW w:w="120" w:type="dxa"/>
            <w:vAlign w:val="bottom"/>
          </w:tcPr>
          <w:p>
            <w:pPr>
              <w:spacing w:after="0"/>
              <w:rPr>
                <w:sz w:val="11"/>
                <w:szCs w:val="11"/>
                <w:color w:val="auto"/>
              </w:rPr>
            </w:pPr>
          </w:p>
        </w:tc>
        <w:tc>
          <w:tcPr>
            <w:tcW w:w="94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FBFBFB"/>
                <w:w w:val="97"/>
              </w:rPr>
              <w:t>Actually Paid</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285"/>
              <w:spacing w:after="0" w:line="135" w:lineRule="exact"/>
              <w:rPr>
                <w:sz w:val="20"/>
                <w:szCs w:val="20"/>
                <w:color w:val="auto"/>
              </w:rPr>
            </w:pPr>
            <w:r>
              <w:rPr>
                <w:rFonts w:ascii="Arial" w:cs="Arial" w:eastAsia="Arial" w:hAnsi="Arial"/>
                <w:sz w:val="13"/>
                <w:szCs w:val="13"/>
                <w:b w:val="1"/>
                <w:bCs w:val="1"/>
                <w:color w:val="FBFBFB"/>
              </w:rPr>
              <w:t>Total</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20" w:type="dxa"/>
            <w:vAlign w:val="bottom"/>
          </w:tcPr>
          <w:p>
            <w:pPr>
              <w:jc w:val="center"/>
              <w:ind w:left="80"/>
              <w:spacing w:after="0" w:line="135" w:lineRule="exact"/>
              <w:rPr>
                <w:sz w:val="20"/>
                <w:szCs w:val="20"/>
                <w:color w:val="auto"/>
              </w:rPr>
            </w:pPr>
            <w:r>
              <w:rPr>
                <w:rFonts w:ascii="Arial" w:cs="Arial" w:eastAsia="Arial" w:hAnsi="Arial"/>
                <w:sz w:val="13"/>
                <w:szCs w:val="13"/>
                <w:b w:val="1"/>
                <w:bCs w:val="1"/>
                <w:color w:val="FBFBFB"/>
                <w:w w:val="96"/>
              </w:rPr>
              <w:t>(</w:t>
            </w:r>
            <w:r>
              <w:rPr>
                <w:rFonts w:ascii="Arial" w:cs="Arial" w:eastAsia="Arial" w:hAnsi="Arial"/>
                <w:sz w:val="13"/>
                <w:szCs w:val="13"/>
                <w:b w:val="1"/>
                <w:bCs w:val="1"/>
                <w:i w:val="1"/>
                <w:iCs w:val="1"/>
                <w:color w:val="FBFBFB"/>
                <w:w w:val="96"/>
              </w:rPr>
              <w:t>dollars in</w:t>
            </w: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FBFBFB"/>
                <w:w w:val="92"/>
              </w:rPr>
              <w:t>Year</w:t>
            </w:r>
          </w:p>
        </w:tc>
        <w:tc>
          <w:tcPr>
            <w:tcW w:w="200" w:type="dxa"/>
            <w:vAlign w:val="bottom"/>
          </w:tcPr>
          <w:p>
            <w:pPr>
              <w:spacing w:after="0"/>
              <w:rPr>
                <w:sz w:val="10"/>
                <w:szCs w:val="10"/>
                <w:color w:val="auto"/>
              </w:rPr>
            </w:pPr>
          </w:p>
        </w:tc>
        <w:tc>
          <w:tcPr>
            <w:tcW w:w="9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FBFBFB"/>
                <w:w w:val="93"/>
              </w:rPr>
              <w:t>Table Total</w:t>
            </w:r>
          </w:p>
        </w:tc>
        <w:tc>
          <w:tcPr>
            <w:tcW w:w="120" w:type="dxa"/>
            <w:vAlign w:val="bottom"/>
          </w:tcPr>
          <w:p>
            <w:pPr>
              <w:spacing w:after="0"/>
              <w:rPr>
                <w:sz w:val="10"/>
                <w:szCs w:val="10"/>
                <w:color w:val="auto"/>
              </w:rPr>
            </w:pPr>
          </w:p>
        </w:tc>
        <w:tc>
          <w:tcPr>
            <w:tcW w:w="940" w:type="dxa"/>
            <w:vAlign w:val="bottom"/>
          </w:tcPr>
          <w:p>
            <w:pPr>
              <w:jc w:val="center"/>
              <w:ind w:right="7"/>
              <w:spacing w:after="0" w:line="122" w:lineRule="exact"/>
              <w:rPr>
                <w:sz w:val="20"/>
                <w:szCs w:val="20"/>
                <w:color w:val="auto"/>
              </w:rPr>
            </w:pPr>
            <w:r>
              <w:rPr>
                <w:rFonts w:ascii="Arial" w:cs="Arial" w:eastAsia="Arial" w:hAnsi="Arial"/>
                <w:sz w:val="13"/>
                <w:szCs w:val="13"/>
                <w:b w:val="1"/>
                <w:bCs w:val="1"/>
                <w:color w:val="FBFBFB"/>
                <w:w w:val="97"/>
              </w:rPr>
              <w:t>Actually Paid</w:t>
            </w:r>
          </w:p>
        </w:tc>
        <w:tc>
          <w:tcPr>
            <w:tcW w:w="18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FBFBFB"/>
                <w:w w:val="98"/>
              </w:rPr>
              <w:t>Non-PEO</w:t>
            </w:r>
          </w:p>
        </w:tc>
        <w:tc>
          <w:tcPr>
            <w:tcW w:w="120" w:type="dxa"/>
            <w:vAlign w:val="bottom"/>
          </w:tcPr>
          <w:p>
            <w:pPr>
              <w:spacing w:after="0"/>
              <w:rPr>
                <w:sz w:val="10"/>
                <w:szCs w:val="10"/>
                <w:color w:val="auto"/>
              </w:rPr>
            </w:pPr>
          </w:p>
        </w:tc>
        <w:tc>
          <w:tcPr>
            <w:tcW w:w="940" w:type="dxa"/>
            <w:vAlign w:val="bottom"/>
          </w:tcPr>
          <w:p>
            <w:pPr>
              <w:jc w:val="center"/>
              <w:ind w:right="4"/>
              <w:spacing w:after="0" w:line="122" w:lineRule="exact"/>
              <w:rPr>
                <w:sz w:val="20"/>
                <w:szCs w:val="20"/>
                <w:color w:val="auto"/>
              </w:rPr>
            </w:pPr>
            <w:r>
              <w:rPr>
                <w:rFonts w:ascii="Arial" w:cs="Arial" w:eastAsia="Arial" w:hAnsi="Arial"/>
                <w:sz w:val="13"/>
                <w:szCs w:val="13"/>
                <w:b w:val="1"/>
                <w:bCs w:val="1"/>
                <w:color w:val="FBFBFB"/>
                <w:w w:val="98"/>
              </w:rPr>
              <w:t>to Non-PEO</w:t>
            </w:r>
          </w:p>
        </w:tc>
        <w:tc>
          <w:tcPr>
            <w:tcW w:w="140" w:type="dxa"/>
            <w:vAlign w:val="bottom"/>
          </w:tcPr>
          <w:p>
            <w:pPr>
              <w:spacing w:after="0"/>
              <w:rPr>
                <w:sz w:val="10"/>
                <w:szCs w:val="10"/>
                <w:color w:val="auto"/>
              </w:rPr>
            </w:pPr>
          </w:p>
        </w:tc>
        <w:tc>
          <w:tcPr>
            <w:tcW w:w="840" w:type="dxa"/>
            <w:vAlign w:val="bottom"/>
          </w:tcPr>
          <w:p>
            <w:pPr>
              <w:jc w:val="right"/>
              <w:ind w:right="24"/>
              <w:spacing w:after="0" w:line="122" w:lineRule="exact"/>
              <w:rPr>
                <w:sz w:val="20"/>
                <w:szCs w:val="20"/>
                <w:color w:val="auto"/>
              </w:rPr>
            </w:pPr>
            <w:r>
              <w:rPr>
                <w:rFonts w:ascii="Arial" w:cs="Arial" w:eastAsia="Arial" w:hAnsi="Arial"/>
                <w:sz w:val="13"/>
                <w:szCs w:val="13"/>
                <w:b w:val="1"/>
                <w:bCs w:val="1"/>
                <w:color w:val="FBFBFB"/>
                <w:w w:val="97"/>
              </w:rPr>
              <w:t>Shareholder</w:t>
            </w:r>
          </w:p>
        </w:tc>
        <w:tc>
          <w:tcPr>
            <w:tcW w:w="180" w:type="dxa"/>
            <w:vAlign w:val="bottom"/>
          </w:tcPr>
          <w:p>
            <w:pPr>
              <w:spacing w:after="0"/>
              <w:rPr>
                <w:sz w:val="10"/>
                <w:szCs w:val="10"/>
                <w:color w:val="auto"/>
              </w:rPr>
            </w:pPr>
          </w:p>
        </w:tc>
        <w:tc>
          <w:tcPr>
            <w:tcW w:w="840" w:type="dxa"/>
            <w:vAlign w:val="bottom"/>
          </w:tcPr>
          <w:p>
            <w:pPr>
              <w:jc w:val="right"/>
              <w:ind w:right="25"/>
              <w:spacing w:after="0" w:line="122" w:lineRule="exact"/>
              <w:rPr>
                <w:sz w:val="20"/>
                <w:szCs w:val="20"/>
                <w:color w:val="auto"/>
              </w:rPr>
            </w:pPr>
            <w:r>
              <w:rPr>
                <w:rFonts w:ascii="Arial" w:cs="Arial" w:eastAsia="Arial" w:hAnsi="Arial"/>
                <w:sz w:val="13"/>
                <w:szCs w:val="13"/>
                <w:b w:val="1"/>
                <w:bCs w:val="1"/>
                <w:color w:val="FBFBFB"/>
                <w:w w:val="97"/>
              </w:rPr>
              <w:t>Shareholder</w:t>
            </w:r>
          </w:p>
        </w:tc>
        <w:tc>
          <w:tcPr>
            <w:tcW w:w="160" w:type="dxa"/>
            <w:vAlign w:val="bottom"/>
          </w:tcPr>
          <w:p>
            <w:pPr>
              <w:spacing w:after="0"/>
              <w:rPr>
                <w:sz w:val="10"/>
                <w:szCs w:val="10"/>
                <w:color w:val="auto"/>
              </w:rPr>
            </w:pPr>
          </w:p>
        </w:tc>
        <w:tc>
          <w:tcPr>
            <w:tcW w:w="800" w:type="dxa"/>
            <w:vAlign w:val="bottom"/>
          </w:tcPr>
          <w:p>
            <w:pPr>
              <w:jc w:val="right"/>
              <w:ind w:right="67"/>
              <w:spacing w:after="0" w:line="122" w:lineRule="exact"/>
              <w:rPr>
                <w:sz w:val="20"/>
                <w:szCs w:val="20"/>
                <w:color w:val="auto"/>
              </w:rPr>
            </w:pPr>
            <w:r>
              <w:rPr>
                <w:rFonts w:ascii="Arial" w:cs="Arial" w:eastAsia="Arial" w:hAnsi="Arial"/>
                <w:sz w:val="13"/>
                <w:szCs w:val="13"/>
                <w:b w:val="1"/>
                <w:bCs w:val="1"/>
                <w:color w:val="FBFBFB"/>
              </w:rPr>
              <w:t>(</w:t>
            </w:r>
            <w:r>
              <w:rPr>
                <w:rFonts w:ascii="Arial" w:cs="Arial" w:eastAsia="Arial" w:hAnsi="Arial"/>
                <w:sz w:val="13"/>
                <w:szCs w:val="13"/>
                <w:b w:val="1"/>
                <w:bCs w:val="1"/>
                <w:i w:val="1"/>
                <w:iCs w:val="1"/>
                <w:color w:val="FBFBFB"/>
              </w:rPr>
              <w:t>dollars in</w:t>
            </w:r>
          </w:p>
        </w:tc>
        <w:tc>
          <w:tcPr>
            <w:tcW w:w="820" w:type="dxa"/>
            <w:vAlign w:val="bottom"/>
          </w:tcPr>
          <w:p>
            <w:pPr>
              <w:jc w:val="center"/>
              <w:ind w:left="80"/>
              <w:spacing w:after="0" w:line="122" w:lineRule="exact"/>
              <w:rPr>
                <w:sz w:val="20"/>
                <w:szCs w:val="20"/>
                <w:color w:val="auto"/>
              </w:rPr>
            </w:pPr>
            <w:r>
              <w:rPr>
                <w:rFonts w:ascii="Arial" w:cs="Arial" w:eastAsia="Arial" w:hAnsi="Arial"/>
                <w:sz w:val="13"/>
                <w:szCs w:val="13"/>
                <w:b w:val="1"/>
                <w:bCs w:val="1"/>
                <w:i w:val="1"/>
                <w:iCs w:val="1"/>
                <w:color w:val="FBFBFB"/>
                <w:w w:val="96"/>
              </w:rPr>
              <w:t>thousands)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FBFBFB"/>
                <w:w w:val="94"/>
              </w:rPr>
              <w:t>for PEO</w:t>
            </w:r>
          </w:p>
        </w:tc>
        <w:tc>
          <w:tcPr>
            <w:tcW w:w="120" w:type="dxa"/>
            <w:vAlign w:val="bottom"/>
          </w:tcPr>
          <w:p>
            <w:pPr>
              <w:spacing w:after="0"/>
              <w:rPr>
                <w:sz w:val="9"/>
                <w:szCs w:val="9"/>
                <w:color w:val="auto"/>
              </w:rPr>
            </w:pPr>
          </w:p>
        </w:tc>
        <w:tc>
          <w:tcPr>
            <w:tcW w:w="940" w:type="dxa"/>
            <w:vAlign w:val="bottom"/>
          </w:tcPr>
          <w:p>
            <w:pPr>
              <w:jc w:val="right"/>
              <w:ind w:right="247"/>
              <w:spacing w:after="0"/>
              <w:rPr>
                <w:sz w:val="20"/>
                <w:szCs w:val="20"/>
                <w:color w:val="auto"/>
              </w:rPr>
            </w:pPr>
            <w:r>
              <w:rPr>
                <w:rFonts w:ascii="Arial" w:cs="Arial" w:eastAsia="Arial" w:hAnsi="Arial"/>
                <w:sz w:val="8"/>
                <w:szCs w:val="8"/>
                <w:b w:val="1"/>
                <w:bCs w:val="1"/>
                <w:color w:val="FBFBFB"/>
              </w:rPr>
              <w:t>(1)</w:t>
            </w:r>
          </w:p>
        </w:tc>
        <w:tc>
          <w:tcPr>
            <w:tcW w:w="180" w:type="dxa"/>
            <w:vAlign w:val="bottom"/>
          </w:tcPr>
          <w:p>
            <w:pPr>
              <w:spacing w:after="0"/>
              <w:rPr>
                <w:sz w:val="9"/>
                <w:szCs w:val="9"/>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FBFBFB"/>
                <w:w w:val="95"/>
              </w:rPr>
              <w:t>NEOs</w:t>
            </w:r>
          </w:p>
        </w:tc>
        <w:tc>
          <w:tcPr>
            <w:tcW w:w="120" w:type="dxa"/>
            <w:vAlign w:val="bottom"/>
          </w:tcPr>
          <w:p>
            <w:pPr>
              <w:spacing w:after="0"/>
              <w:rPr>
                <w:sz w:val="9"/>
                <w:szCs w:val="9"/>
                <w:color w:val="auto"/>
              </w:rPr>
            </w:pPr>
          </w:p>
        </w:tc>
        <w:tc>
          <w:tcPr>
            <w:tcW w:w="940" w:type="dxa"/>
            <w:vAlign w:val="bottom"/>
          </w:tcPr>
          <w:p>
            <w:pPr>
              <w:jc w:val="right"/>
              <w:ind w:right="284"/>
              <w:spacing w:after="0"/>
              <w:rPr>
                <w:sz w:val="20"/>
                <w:szCs w:val="20"/>
                <w:color w:val="auto"/>
              </w:rPr>
            </w:pPr>
            <w:r>
              <w:rPr>
                <w:rFonts w:ascii="Arial" w:cs="Arial" w:eastAsia="Arial" w:hAnsi="Arial"/>
                <w:sz w:val="8"/>
                <w:szCs w:val="8"/>
                <w:b w:val="1"/>
                <w:bCs w:val="1"/>
                <w:color w:val="FBFBFB"/>
              </w:rPr>
              <w:t>(2)</w:t>
            </w:r>
          </w:p>
        </w:tc>
        <w:tc>
          <w:tcPr>
            <w:tcW w:w="140" w:type="dxa"/>
            <w:vAlign w:val="bottom"/>
          </w:tcPr>
          <w:p>
            <w:pPr>
              <w:spacing w:after="0"/>
              <w:rPr>
                <w:sz w:val="9"/>
                <w:szCs w:val="9"/>
                <w:color w:val="auto"/>
              </w:rPr>
            </w:pPr>
          </w:p>
        </w:tc>
        <w:tc>
          <w:tcPr>
            <w:tcW w:w="840" w:type="dxa"/>
            <w:vAlign w:val="bottom"/>
          </w:tcPr>
          <w:p>
            <w:pPr>
              <w:jc w:val="right"/>
              <w:ind w:right="164"/>
              <w:spacing w:after="0"/>
              <w:rPr>
                <w:sz w:val="20"/>
                <w:szCs w:val="20"/>
                <w:color w:val="auto"/>
              </w:rPr>
            </w:pPr>
            <w:r>
              <w:rPr>
                <w:rFonts w:ascii="Arial" w:cs="Arial" w:eastAsia="Arial" w:hAnsi="Arial"/>
                <w:sz w:val="8"/>
                <w:szCs w:val="8"/>
                <w:b w:val="1"/>
                <w:bCs w:val="1"/>
                <w:color w:val="FBFBFB"/>
              </w:rPr>
              <w:t>(3)</w:t>
            </w:r>
          </w:p>
        </w:tc>
        <w:tc>
          <w:tcPr>
            <w:tcW w:w="180" w:type="dxa"/>
            <w:vAlign w:val="bottom"/>
          </w:tcPr>
          <w:p>
            <w:pPr>
              <w:spacing w:after="0"/>
              <w:rPr>
                <w:sz w:val="9"/>
                <w:szCs w:val="9"/>
                <w:color w:val="auto"/>
              </w:rPr>
            </w:pPr>
          </w:p>
        </w:tc>
        <w:tc>
          <w:tcPr>
            <w:tcW w:w="840" w:type="dxa"/>
            <w:vAlign w:val="bottom"/>
          </w:tcPr>
          <w:p>
            <w:pPr>
              <w:jc w:val="right"/>
              <w:ind w:right="185"/>
              <w:spacing w:after="0"/>
              <w:rPr>
                <w:sz w:val="20"/>
                <w:szCs w:val="20"/>
                <w:color w:val="auto"/>
              </w:rPr>
            </w:pPr>
            <w:r>
              <w:rPr>
                <w:rFonts w:ascii="Arial" w:cs="Arial" w:eastAsia="Arial" w:hAnsi="Arial"/>
                <w:sz w:val="8"/>
                <w:szCs w:val="8"/>
                <w:b w:val="1"/>
                <w:bCs w:val="1"/>
                <w:color w:val="FBFBFB"/>
              </w:rPr>
              <w:t>(4)</w:t>
            </w:r>
          </w:p>
        </w:tc>
        <w:tc>
          <w:tcPr>
            <w:tcW w:w="160" w:type="dxa"/>
            <w:vAlign w:val="bottom"/>
          </w:tcPr>
          <w:p>
            <w:pPr>
              <w:spacing w:after="0"/>
              <w:rPr>
                <w:sz w:val="9"/>
                <w:szCs w:val="9"/>
                <w:color w:val="auto"/>
              </w:rPr>
            </w:pPr>
          </w:p>
        </w:tc>
        <w:tc>
          <w:tcPr>
            <w:tcW w:w="800" w:type="dxa"/>
            <w:vAlign w:val="bottom"/>
          </w:tcPr>
          <w:p>
            <w:pPr>
              <w:jc w:val="right"/>
              <w:ind w:right="47"/>
              <w:spacing w:after="0"/>
              <w:rPr>
                <w:sz w:val="20"/>
                <w:szCs w:val="20"/>
                <w:color w:val="auto"/>
              </w:rPr>
            </w:pPr>
            <w:r>
              <w:rPr>
                <w:rFonts w:ascii="Arial" w:cs="Arial" w:eastAsia="Arial" w:hAnsi="Arial"/>
                <w:sz w:val="8"/>
                <w:szCs w:val="8"/>
                <w:b w:val="1"/>
                <w:bCs w:val="1"/>
                <w:color w:val="FBFBFB"/>
              </w:rPr>
              <w:t>(5)</w:t>
            </w:r>
          </w:p>
        </w:tc>
        <w:tc>
          <w:tcPr>
            <w:tcW w:w="820" w:type="dxa"/>
            <w:vAlign w:val="bottom"/>
          </w:tcPr>
          <w:p>
            <w:pPr>
              <w:jc w:val="center"/>
              <w:ind w:left="20"/>
              <w:spacing w:after="0"/>
              <w:rPr>
                <w:sz w:val="20"/>
                <w:szCs w:val="20"/>
                <w:color w:val="auto"/>
              </w:rPr>
            </w:pPr>
            <w:r>
              <w:rPr>
                <w:rFonts w:ascii="Arial" w:cs="Arial" w:eastAsia="Arial" w:hAnsi="Arial"/>
                <w:sz w:val="8"/>
                <w:szCs w:val="8"/>
                <w:b w:val="1"/>
                <w:bCs w:val="1"/>
                <w:color w:val="FBFBFB"/>
              </w:rPr>
              <w:t>(6)</w:t>
            </w:r>
          </w:p>
        </w:tc>
        <w:tc>
          <w:tcPr>
            <w:tcW w:w="0" w:type="dxa"/>
            <w:vAlign w:val="bottom"/>
          </w:tcPr>
          <w:p>
            <w:pPr>
              <w:spacing w:after="0"/>
              <w:rPr>
                <w:sz w:val="1"/>
                <w:szCs w:val="1"/>
                <w:color w:val="auto"/>
              </w:rPr>
            </w:pPr>
          </w:p>
        </w:tc>
      </w:tr>
      <w:tr>
        <w:trPr>
          <w:trHeight w:val="50"/>
        </w:trPr>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FBFBFB"/>
              </w:rPr>
              <w:t>(a)</w:t>
            </w: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jc w:val="right"/>
              <w:ind w:right="287"/>
              <w:spacing w:after="0" w:line="50" w:lineRule="exact"/>
              <w:rPr>
                <w:sz w:val="20"/>
                <w:szCs w:val="20"/>
                <w:color w:val="auto"/>
              </w:rPr>
            </w:pPr>
            <w:r>
              <w:rPr>
                <w:rFonts w:ascii="Arial" w:cs="Arial" w:eastAsia="Arial" w:hAnsi="Arial"/>
                <w:sz w:val="5"/>
                <w:szCs w:val="5"/>
                <w:b w:val="1"/>
                <w:bCs w:val="1"/>
                <w:color w:val="FBFBFB"/>
              </w:rPr>
              <w:t>to PEO</w:t>
            </w: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jc w:val="right"/>
              <w:ind w:right="324"/>
              <w:spacing w:after="0" w:line="50" w:lineRule="exact"/>
              <w:rPr>
                <w:sz w:val="20"/>
                <w:szCs w:val="20"/>
                <w:color w:val="auto"/>
              </w:rPr>
            </w:pPr>
            <w:r>
              <w:rPr>
                <w:rFonts w:ascii="Arial" w:cs="Arial" w:eastAsia="Arial" w:hAnsi="Arial"/>
                <w:sz w:val="5"/>
                <w:szCs w:val="5"/>
                <w:b w:val="1"/>
                <w:bCs w:val="1"/>
                <w:color w:val="FBFBFB"/>
              </w:rPr>
              <w:t>NEOs</w:t>
            </w:r>
          </w:p>
        </w:tc>
        <w:tc>
          <w:tcPr>
            <w:tcW w:w="140" w:type="dxa"/>
            <w:vAlign w:val="bottom"/>
          </w:tcPr>
          <w:p>
            <w:pPr>
              <w:spacing w:after="0"/>
              <w:rPr>
                <w:sz w:val="4"/>
                <w:szCs w:val="4"/>
                <w:color w:val="auto"/>
              </w:rPr>
            </w:pPr>
          </w:p>
        </w:tc>
        <w:tc>
          <w:tcPr>
            <w:tcW w:w="840" w:type="dxa"/>
            <w:vAlign w:val="bottom"/>
          </w:tcPr>
          <w:p>
            <w:pPr>
              <w:jc w:val="right"/>
              <w:ind w:right="244"/>
              <w:spacing w:after="0" w:line="50" w:lineRule="exact"/>
              <w:rPr>
                <w:sz w:val="20"/>
                <w:szCs w:val="20"/>
                <w:color w:val="auto"/>
              </w:rPr>
            </w:pPr>
            <w:r>
              <w:rPr>
                <w:rFonts w:ascii="Arial" w:cs="Arial" w:eastAsia="Arial" w:hAnsi="Arial"/>
                <w:sz w:val="5"/>
                <w:szCs w:val="5"/>
                <w:b w:val="1"/>
                <w:bCs w:val="1"/>
                <w:color w:val="FBFBFB"/>
              </w:rPr>
              <w:t>Return</w:t>
            </w:r>
          </w:p>
        </w:tc>
        <w:tc>
          <w:tcPr>
            <w:tcW w:w="180" w:type="dxa"/>
            <w:vAlign w:val="bottom"/>
          </w:tcPr>
          <w:p>
            <w:pPr>
              <w:spacing w:after="0"/>
              <w:rPr>
                <w:sz w:val="4"/>
                <w:szCs w:val="4"/>
                <w:color w:val="auto"/>
              </w:rPr>
            </w:pPr>
          </w:p>
        </w:tc>
        <w:tc>
          <w:tcPr>
            <w:tcW w:w="840" w:type="dxa"/>
            <w:vAlign w:val="bottom"/>
          </w:tcPr>
          <w:p>
            <w:pPr>
              <w:jc w:val="right"/>
              <w:ind w:right="265"/>
              <w:spacing w:after="0" w:line="50" w:lineRule="exact"/>
              <w:rPr>
                <w:sz w:val="20"/>
                <w:szCs w:val="20"/>
                <w:color w:val="auto"/>
              </w:rPr>
            </w:pPr>
            <w:r>
              <w:rPr>
                <w:rFonts w:ascii="Arial" w:cs="Arial" w:eastAsia="Arial" w:hAnsi="Arial"/>
                <w:sz w:val="5"/>
                <w:szCs w:val="5"/>
                <w:b w:val="1"/>
                <w:bCs w:val="1"/>
                <w:color w:val="FBFBFB"/>
              </w:rPr>
              <w:t>Return</w:t>
            </w:r>
          </w:p>
        </w:tc>
        <w:tc>
          <w:tcPr>
            <w:tcW w:w="160" w:type="dxa"/>
            <w:vAlign w:val="bottom"/>
          </w:tcPr>
          <w:p>
            <w:pPr>
              <w:spacing w:after="0"/>
              <w:rPr>
                <w:sz w:val="4"/>
                <w:szCs w:val="4"/>
                <w:color w:val="auto"/>
              </w:rPr>
            </w:pPr>
          </w:p>
        </w:tc>
        <w:tc>
          <w:tcPr>
            <w:tcW w:w="800" w:type="dxa"/>
            <w:vAlign w:val="bottom"/>
          </w:tcPr>
          <w:p>
            <w:pPr>
              <w:jc w:val="right"/>
              <w:ind w:right="67"/>
              <w:spacing w:after="0" w:line="50" w:lineRule="exact"/>
              <w:rPr>
                <w:sz w:val="20"/>
                <w:szCs w:val="20"/>
                <w:color w:val="auto"/>
              </w:rPr>
            </w:pPr>
            <w:r>
              <w:rPr>
                <w:rFonts w:ascii="Arial" w:cs="Arial" w:eastAsia="Arial" w:hAnsi="Arial"/>
                <w:sz w:val="5"/>
                <w:szCs w:val="5"/>
                <w:b w:val="1"/>
                <w:bCs w:val="1"/>
                <w:i w:val="1"/>
                <w:iCs w:val="1"/>
                <w:color w:val="FBFBFB"/>
              </w:rPr>
              <w:t>thousands)</w:t>
            </w:r>
          </w:p>
        </w:tc>
        <w:tc>
          <w:tcPr>
            <w:tcW w:w="82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FBFBFB"/>
                <w:w w:val="97"/>
              </w:rPr>
              <w:t>(i)</w:t>
            </w:r>
          </w:p>
        </w:tc>
        <w:tc>
          <w:tcPr>
            <w:tcW w:w="0" w:type="dxa"/>
            <w:vAlign w:val="bottom"/>
          </w:tcPr>
          <w:p>
            <w:pPr>
              <w:spacing w:after="0"/>
              <w:rPr>
                <w:sz w:val="1"/>
                <w:szCs w:val="1"/>
                <w:color w:val="auto"/>
              </w:rPr>
            </w:pPr>
          </w:p>
        </w:tc>
      </w:tr>
      <w:tr>
        <w:trPr>
          <w:trHeight w:val="172"/>
        </w:trPr>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3"/>
                <w:szCs w:val="13"/>
                <w:b w:val="1"/>
                <w:bCs w:val="1"/>
                <w:color w:val="FBFBFB"/>
                <w:w w:val="96"/>
              </w:rPr>
              <w:t>(b)</w:t>
            </w:r>
          </w:p>
        </w:tc>
        <w:tc>
          <w:tcPr>
            <w:tcW w:w="120" w:type="dxa"/>
            <w:vAlign w:val="bottom"/>
          </w:tcPr>
          <w:p>
            <w:pPr>
              <w:spacing w:after="0"/>
              <w:rPr>
                <w:sz w:val="14"/>
                <w:szCs w:val="14"/>
                <w:color w:val="auto"/>
              </w:rPr>
            </w:pPr>
          </w:p>
        </w:tc>
        <w:tc>
          <w:tcPr>
            <w:tcW w:w="940" w:type="dxa"/>
            <w:vAlign w:val="bottom"/>
          </w:tcPr>
          <w:p>
            <w:pPr>
              <w:jc w:val="right"/>
              <w:ind w:right="387"/>
              <w:spacing w:after="0"/>
              <w:rPr>
                <w:sz w:val="20"/>
                <w:szCs w:val="20"/>
                <w:color w:val="auto"/>
              </w:rPr>
            </w:pPr>
            <w:r>
              <w:rPr>
                <w:rFonts w:ascii="Arial" w:cs="Arial" w:eastAsia="Arial" w:hAnsi="Arial"/>
                <w:sz w:val="13"/>
                <w:szCs w:val="13"/>
                <w:b w:val="1"/>
                <w:bCs w:val="1"/>
                <w:color w:val="FBFBFB"/>
              </w:rPr>
              <w:t>(c)</w:t>
            </w:r>
          </w:p>
        </w:tc>
        <w:tc>
          <w:tcPr>
            <w:tcW w:w="180" w:type="dxa"/>
            <w:vAlign w:val="bottom"/>
          </w:tcPr>
          <w:p>
            <w:pPr>
              <w:spacing w:after="0"/>
              <w:rPr>
                <w:sz w:val="14"/>
                <w:szCs w:val="14"/>
                <w:color w:val="auto"/>
              </w:rPr>
            </w:pPr>
          </w:p>
        </w:tc>
        <w:tc>
          <w:tcPr>
            <w:tcW w:w="840" w:type="dxa"/>
            <w:vAlign w:val="bottom"/>
          </w:tcPr>
          <w:p>
            <w:pPr>
              <w:jc w:val="right"/>
              <w:ind w:right="357"/>
              <w:spacing w:after="0"/>
              <w:rPr>
                <w:sz w:val="20"/>
                <w:szCs w:val="20"/>
                <w:color w:val="auto"/>
              </w:rPr>
            </w:pPr>
            <w:r>
              <w:rPr>
                <w:rFonts w:ascii="Arial" w:cs="Arial" w:eastAsia="Arial" w:hAnsi="Arial"/>
                <w:sz w:val="13"/>
                <w:szCs w:val="13"/>
                <w:b w:val="1"/>
                <w:bCs w:val="1"/>
                <w:color w:val="FBFBFB"/>
              </w:rPr>
              <w:t>(d)</w:t>
            </w:r>
          </w:p>
        </w:tc>
        <w:tc>
          <w:tcPr>
            <w:tcW w:w="12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3"/>
                <w:szCs w:val="13"/>
                <w:b w:val="1"/>
                <w:bCs w:val="1"/>
                <w:color w:val="FBFBFB"/>
                <w:w w:val="87"/>
              </w:rPr>
              <w:t>(e)</w:t>
            </w:r>
          </w:p>
        </w:tc>
        <w:tc>
          <w:tcPr>
            <w:tcW w:w="140" w:type="dxa"/>
            <w:vAlign w:val="bottom"/>
          </w:tcPr>
          <w:p>
            <w:pPr>
              <w:spacing w:after="0"/>
              <w:rPr>
                <w:sz w:val="14"/>
                <w:szCs w:val="14"/>
                <w:color w:val="auto"/>
              </w:rPr>
            </w:pPr>
          </w:p>
        </w:tc>
        <w:tc>
          <w:tcPr>
            <w:tcW w:w="840" w:type="dxa"/>
            <w:vAlign w:val="bottom"/>
          </w:tcPr>
          <w:p>
            <w:pPr>
              <w:jc w:val="right"/>
              <w:ind w:right="344"/>
              <w:spacing w:after="0"/>
              <w:rPr>
                <w:sz w:val="20"/>
                <w:szCs w:val="20"/>
                <w:color w:val="auto"/>
              </w:rPr>
            </w:pPr>
            <w:r>
              <w:rPr>
                <w:rFonts w:ascii="Arial" w:cs="Arial" w:eastAsia="Arial" w:hAnsi="Arial"/>
                <w:sz w:val="13"/>
                <w:szCs w:val="13"/>
                <w:b w:val="1"/>
                <w:bCs w:val="1"/>
                <w:color w:val="FBFBFB"/>
              </w:rPr>
              <w:t>(f)</w:t>
            </w:r>
          </w:p>
        </w:tc>
        <w:tc>
          <w:tcPr>
            <w:tcW w:w="180" w:type="dxa"/>
            <w:vAlign w:val="bottom"/>
          </w:tcPr>
          <w:p>
            <w:pPr>
              <w:spacing w:after="0"/>
              <w:rPr>
                <w:sz w:val="14"/>
                <w:szCs w:val="14"/>
                <w:color w:val="auto"/>
              </w:rPr>
            </w:pPr>
          </w:p>
        </w:tc>
        <w:tc>
          <w:tcPr>
            <w:tcW w:w="840" w:type="dxa"/>
            <w:vAlign w:val="bottom"/>
          </w:tcPr>
          <w:p>
            <w:pPr>
              <w:jc w:val="right"/>
              <w:ind w:right="345"/>
              <w:spacing w:after="0"/>
              <w:rPr>
                <w:sz w:val="20"/>
                <w:szCs w:val="20"/>
                <w:color w:val="auto"/>
              </w:rPr>
            </w:pPr>
            <w:r>
              <w:rPr>
                <w:rFonts w:ascii="Arial" w:cs="Arial" w:eastAsia="Arial" w:hAnsi="Arial"/>
                <w:sz w:val="13"/>
                <w:szCs w:val="13"/>
                <w:b w:val="1"/>
                <w:bCs w:val="1"/>
                <w:color w:val="FBFBFB"/>
              </w:rPr>
              <w:t>(g)</w:t>
            </w:r>
          </w:p>
        </w:tc>
        <w:tc>
          <w:tcPr>
            <w:tcW w:w="1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Arial" w:cs="Arial" w:eastAsia="Arial" w:hAnsi="Arial"/>
                <w:sz w:val="13"/>
                <w:szCs w:val="13"/>
                <w:b w:val="1"/>
                <w:bCs w:val="1"/>
                <w:color w:val="FBFBFB"/>
              </w:rPr>
              <w:t>(h)</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 w:type="dxa"/>
            <w:vAlign w:val="bottom"/>
          </w:tcPr>
          <w:p>
            <w:pPr>
              <w:jc w:val="right"/>
              <w:ind w:right="177"/>
              <w:spacing w:after="0"/>
              <w:rPr>
                <w:sz w:val="20"/>
                <w:szCs w:val="20"/>
                <w:color w:val="auto"/>
              </w:rPr>
            </w:pPr>
            <w:r>
              <w:rPr>
                <w:rFonts w:ascii="Arial" w:cs="Arial" w:eastAsia="Arial" w:hAnsi="Arial"/>
                <w:sz w:val="13"/>
                <w:szCs w:val="13"/>
                <w:color w:val="auto"/>
                <w:w w:val="89"/>
              </w:rPr>
              <w:t>2024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9,146,769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
              <w:spacing w:after="0"/>
              <w:rPr>
                <w:sz w:val="20"/>
                <w:szCs w:val="20"/>
                <w:color w:val="auto"/>
              </w:rPr>
            </w:pPr>
            <w:r>
              <w:rPr>
                <w:rFonts w:ascii="Arial" w:cs="Arial" w:eastAsia="Arial" w:hAnsi="Arial"/>
                <w:sz w:val="13"/>
                <w:szCs w:val="13"/>
                <w:color w:val="auto"/>
              </w:rPr>
              <w:t>2,030,618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2,242,388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4"/>
              <w:spacing w:after="0"/>
              <w:rPr>
                <w:sz w:val="20"/>
                <w:szCs w:val="20"/>
                <w:color w:val="auto"/>
              </w:rPr>
            </w:pPr>
            <w:r>
              <w:rPr>
                <w:rFonts w:ascii="Arial" w:cs="Arial" w:eastAsia="Arial" w:hAnsi="Arial"/>
                <w:sz w:val="13"/>
                <w:szCs w:val="13"/>
                <w:color w:val="auto"/>
              </w:rPr>
              <w:t>586,590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4"/>
              <w:spacing w:after="0"/>
              <w:rPr>
                <w:sz w:val="20"/>
                <w:szCs w:val="20"/>
                <w:color w:val="auto"/>
              </w:rPr>
            </w:pPr>
            <w:r>
              <w:rPr>
                <w:rFonts w:ascii="Arial" w:cs="Arial" w:eastAsia="Arial" w:hAnsi="Arial"/>
                <w:sz w:val="13"/>
                <w:szCs w:val="13"/>
                <w:color w:val="auto"/>
              </w:rPr>
              <w:t>57.59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5"/>
              <w:spacing w:after="0"/>
              <w:rPr>
                <w:sz w:val="20"/>
                <w:szCs w:val="20"/>
                <w:color w:val="auto"/>
              </w:rPr>
            </w:pPr>
            <w:r>
              <w:rPr>
                <w:rFonts w:ascii="Arial" w:cs="Arial" w:eastAsia="Arial" w:hAnsi="Arial"/>
                <w:sz w:val="13"/>
                <w:szCs w:val="13"/>
                <w:color w:val="auto"/>
              </w:rPr>
              <w:t>69.31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7"/>
              <w:spacing w:after="0"/>
              <w:rPr>
                <w:sz w:val="20"/>
                <w:szCs w:val="20"/>
                <w:color w:val="auto"/>
              </w:rPr>
            </w:pPr>
            <w:r>
              <w:rPr>
                <w:rFonts w:ascii="Arial" w:cs="Arial" w:eastAsia="Arial" w:hAnsi="Arial"/>
                <w:sz w:val="13"/>
                <w:szCs w:val="13"/>
                <w:color w:val="auto"/>
              </w:rPr>
              <w:t>185,509</w:t>
            </w:r>
          </w:p>
        </w:tc>
        <w:tc>
          <w:tcPr>
            <w:tcW w:w="820" w:type="dxa"/>
            <w:vAlign w:val="bottom"/>
          </w:tcPr>
          <w:p>
            <w:pPr>
              <w:jc w:val="right"/>
              <w:spacing w:after="0"/>
              <w:rPr>
                <w:sz w:val="20"/>
                <w:szCs w:val="20"/>
                <w:color w:val="auto"/>
              </w:rPr>
            </w:pPr>
            <w:r>
              <w:rPr>
                <w:rFonts w:ascii="Arial" w:cs="Arial" w:eastAsia="Arial" w:hAnsi="Arial"/>
                <w:sz w:val="13"/>
                <w:szCs w:val="13"/>
                <w:color w:val="auto"/>
              </w:rPr>
              <w:t>$   286,550</w:t>
            </w:r>
          </w:p>
        </w:tc>
        <w:tc>
          <w:tcPr>
            <w:tcW w:w="0" w:type="dxa"/>
            <w:vAlign w:val="bottom"/>
          </w:tcPr>
          <w:p>
            <w:pPr>
              <w:spacing w:after="0"/>
              <w:rPr>
                <w:sz w:val="1"/>
                <w:szCs w:val="1"/>
                <w:color w:val="auto"/>
              </w:rPr>
            </w:pPr>
          </w:p>
        </w:tc>
      </w:tr>
    </w:tbl>
    <w:p>
      <w:pPr>
        <w:sectPr>
          <w:pgSz w:w="11900" w:h="16838" w:orient="portrait"/>
          <w:cols w:equalWidth="0" w:num="1">
            <w:col w:w="9340"/>
          </w:cols>
          <w:pgMar w:left="1440" w:top="104" w:right="1119" w:bottom="0" w:gutter="0" w:footer="0" w:header="0"/>
        </w:sectPr>
      </w:pPr>
    </w:p>
    <w:bookmarkStart w:id="58" w:name="page59"/>
    <w:bookmarkEnd w:id="58"/>
    <w:p>
      <w:pPr>
        <w:spacing w:after="0" w:line="12"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600" w:type="dxa"/>
            <w:vAlign w:val="bottom"/>
          </w:tcPr>
          <w:p>
            <w:pPr>
              <w:jc w:val="right"/>
              <w:ind w:right="257"/>
              <w:spacing w:after="0"/>
              <w:rPr>
                <w:sz w:val="20"/>
                <w:szCs w:val="20"/>
                <w:color w:val="auto"/>
              </w:rPr>
            </w:pPr>
            <w:r>
              <w:rPr>
                <w:rFonts w:ascii="Arial" w:cs="Arial" w:eastAsia="Arial" w:hAnsi="Arial"/>
                <w:sz w:val="13"/>
                <w:szCs w:val="13"/>
                <w:color w:val="auto"/>
                <w:w w:val="89"/>
              </w:rPr>
              <w:t>2023</w:t>
            </w:r>
          </w:p>
        </w:tc>
        <w:tc>
          <w:tcPr>
            <w:tcW w:w="1200" w:type="dxa"/>
            <w:vAlign w:val="bottom"/>
          </w:tcPr>
          <w:p>
            <w:pPr>
              <w:ind w:left="340"/>
              <w:spacing w:after="0"/>
              <w:rPr>
                <w:sz w:val="20"/>
                <w:szCs w:val="20"/>
                <w:color w:val="auto"/>
              </w:rPr>
            </w:pPr>
            <w:r>
              <w:rPr>
                <w:rFonts w:ascii="Arial" w:cs="Arial" w:eastAsia="Arial" w:hAnsi="Arial"/>
                <w:sz w:val="13"/>
                <w:szCs w:val="13"/>
                <w:color w:val="auto"/>
              </w:rPr>
              <w:t>10,088,133</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7,858,875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3,061,079</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2,624,467</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75.89</w:t>
            </w:r>
          </w:p>
        </w:tc>
        <w:tc>
          <w:tcPr>
            <w:tcW w:w="940" w:type="dxa"/>
            <w:vAlign w:val="bottom"/>
          </w:tcPr>
          <w:p>
            <w:pPr>
              <w:jc w:val="right"/>
              <w:ind w:right="177"/>
              <w:spacing w:after="0"/>
              <w:rPr>
                <w:sz w:val="20"/>
                <w:szCs w:val="20"/>
                <w:color w:val="auto"/>
              </w:rPr>
            </w:pPr>
            <w:r>
              <w:rPr>
                <w:rFonts w:ascii="Arial" w:cs="Arial" w:eastAsia="Arial" w:hAnsi="Arial"/>
                <w:sz w:val="13"/>
                <w:szCs w:val="13"/>
                <w:color w:val="auto"/>
              </w:rPr>
              <w:t>73.34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232,500</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327,816</w:t>
            </w:r>
          </w:p>
        </w:tc>
      </w:tr>
      <w:tr>
        <w:trPr>
          <w:trHeight w:val="166"/>
        </w:trPr>
        <w:tc>
          <w:tcPr>
            <w:tcW w:w="600" w:type="dxa"/>
            <w:vAlign w:val="bottom"/>
          </w:tcPr>
          <w:p>
            <w:pPr>
              <w:jc w:val="right"/>
              <w:ind w:right="257"/>
              <w:spacing w:after="0"/>
              <w:rPr>
                <w:sz w:val="20"/>
                <w:szCs w:val="20"/>
                <w:color w:val="auto"/>
              </w:rPr>
            </w:pPr>
            <w:r>
              <w:rPr>
                <w:rFonts w:ascii="Arial" w:cs="Arial" w:eastAsia="Arial" w:hAnsi="Arial"/>
                <w:sz w:val="13"/>
                <w:szCs w:val="13"/>
                <w:color w:val="auto"/>
                <w:w w:val="89"/>
              </w:rPr>
              <w:t>2022</w:t>
            </w:r>
          </w:p>
        </w:tc>
        <w:tc>
          <w:tcPr>
            <w:tcW w:w="1200" w:type="dxa"/>
            <w:vAlign w:val="bottom"/>
          </w:tcPr>
          <w:p>
            <w:pPr>
              <w:ind w:left="400"/>
              <w:spacing w:after="0"/>
              <w:rPr>
                <w:sz w:val="20"/>
                <w:szCs w:val="20"/>
                <w:color w:val="auto"/>
              </w:rPr>
            </w:pPr>
            <w:r>
              <w:rPr>
                <w:rFonts w:ascii="Arial" w:cs="Arial" w:eastAsia="Arial" w:hAnsi="Arial"/>
                <w:sz w:val="13"/>
                <w:szCs w:val="13"/>
                <w:color w:val="auto"/>
              </w:rPr>
              <w:t>8,606,754</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4,760,564</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2,264,230</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1,619,056</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72.36</w:t>
            </w:r>
          </w:p>
        </w:tc>
        <w:tc>
          <w:tcPr>
            <w:tcW w:w="940" w:type="dxa"/>
            <w:vAlign w:val="bottom"/>
          </w:tcPr>
          <w:p>
            <w:pPr>
              <w:jc w:val="right"/>
              <w:ind w:right="177"/>
              <w:spacing w:after="0"/>
              <w:rPr>
                <w:sz w:val="20"/>
                <w:szCs w:val="20"/>
                <w:color w:val="auto"/>
              </w:rPr>
            </w:pPr>
            <w:r>
              <w:rPr>
                <w:rFonts w:ascii="Arial" w:cs="Arial" w:eastAsia="Arial" w:hAnsi="Arial"/>
                <w:sz w:val="13"/>
                <w:szCs w:val="13"/>
                <w:color w:val="auto"/>
              </w:rPr>
              <w:t>67.87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250,038</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388,171</w:t>
            </w:r>
          </w:p>
        </w:tc>
      </w:tr>
      <w:tr>
        <w:trPr>
          <w:trHeight w:val="175"/>
        </w:trPr>
        <w:tc>
          <w:tcPr>
            <w:tcW w:w="600" w:type="dxa"/>
            <w:vAlign w:val="bottom"/>
          </w:tcPr>
          <w:p>
            <w:pPr>
              <w:jc w:val="right"/>
              <w:ind w:right="257"/>
              <w:spacing w:after="0"/>
              <w:rPr>
                <w:sz w:val="20"/>
                <w:szCs w:val="20"/>
                <w:color w:val="auto"/>
              </w:rPr>
            </w:pPr>
            <w:r>
              <w:rPr>
                <w:rFonts w:ascii="Arial" w:cs="Arial" w:eastAsia="Arial" w:hAnsi="Arial"/>
                <w:sz w:val="13"/>
                <w:szCs w:val="13"/>
                <w:color w:val="auto"/>
                <w:w w:val="89"/>
              </w:rPr>
              <w:t>2021</w:t>
            </w:r>
          </w:p>
        </w:tc>
        <w:tc>
          <w:tcPr>
            <w:tcW w:w="1200" w:type="dxa"/>
            <w:vAlign w:val="bottom"/>
          </w:tcPr>
          <w:p>
            <w:pPr>
              <w:ind w:left="340"/>
              <w:spacing w:after="0"/>
              <w:rPr>
                <w:sz w:val="20"/>
                <w:szCs w:val="20"/>
                <w:color w:val="auto"/>
              </w:rPr>
            </w:pPr>
            <w:r>
              <w:rPr>
                <w:rFonts w:ascii="Arial" w:cs="Arial" w:eastAsia="Arial" w:hAnsi="Arial"/>
                <w:sz w:val="13"/>
                <w:szCs w:val="13"/>
                <w:color w:val="auto"/>
              </w:rPr>
              <w:t>11,056,385</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13,931,119</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3,801,288</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4,249,437</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94.49</w:t>
            </w:r>
          </w:p>
        </w:tc>
        <w:tc>
          <w:tcPr>
            <w:tcW w:w="940" w:type="dxa"/>
            <w:vAlign w:val="bottom"/>
          </w:tcPr>
          <w:p>
            <w:pPr>
              <w:jc w:val="right"/>
              <w:ind w:right="177"/>
              <w:spacing w:after="0"/>
              <w:rPr>
                <w:sz w:val="20"/>
                <w:szCs w:val="20"/>
                <w:color w:val="auto"/>
              </w:rPr>
            </w:pPr>
            <w:r>
              <w:rPr>
                <w:rFonts w:ascii="Arial" w:cs="Arial" w:eastAsia="Arial" w:hAnsi="Arial"/>
                <w:sz w:val="13"/>
                <w:szCs w:val="13"/>
                <w:color w:val="auto"/>
              </w:rPr>
              <w:t>103.90</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339,748</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500,764</w:t>
            </w:r>
          </w:p>
        </w:tc>
      </w:tr>
      <w:tr>
        <w:trPr>
          <w:trHeight w:val="203"/>
        </w:trPr>
        <w:tc>
          <w:tcPr>
            <w:tcW w:w="600" w:type="dxa"/>
            <w:vAlign w:val="bottom"/>
          </w:tcPr>
          <w:p>
            <w:pPr>
              <w:jc w:val="right"/>
              <w:ind w:right="257"/>
              <w:spacing w:after="0"/>
              <w:rPr>
                <w:sz w:val="20"/>
                <w:szCs w:val="20"/>
                <w:color w:val="auto"/>
              </w:rPr>
            </w:pPr>
            <w:r>
              <w:rPr>
                <w:rFonts w:ascii="Arial" w:cs="Arial" w:eastAsia="Arial" w:hAnsi="Arial"/>
                <w:sz w:val="13"/>
                <w:szCs w:val="13"/>
                <w:color w:val="auto"/>
                <w:w w:val="89"/>
              </w:rPr>
              <w:t>2020</w:t>
            </w:r>
          </w:p>
        </w:tc>
        <w:tc>
          <w:tcPr>
            <w:tcW w:w="1200" w:type="dxa"/>
            <w:vAlign w:val="bottom"/>
          </w:tcPr>
          <w:p>
            <w:pPr>
              <w:ind w:left="400"/>
              <w:spacing w:after="0"/>
              <w:rPr>
                <w:sz w:val="20"/>
                <w:szCs w:val="20"/>
                <w:color w:val="auto"/>
              </w:rPr>
            </w:pPr>
            <w:r>
              <w:rPr>
                <w:rFonts w:ascii="Arial" w:cs="Arial" w:eastAsia="Arial" w:hAnsi="Arial"/>
                <w:sz w:val="13"/>
                <w:szCs w:val="13"/>
                <w:color w:val="auto"/>
              </w:rPr>
              <w:t>7,297,118</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(185,504)</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1,648,590</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579,698</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86.62</w:t>
            </w:r>
          </w:p>
        </w:tc>
        <w:tc>
          <w:tcPr>
            <w:tcW w:w="940" w:type="dxa"/>
            <w:vAlign w:val="bottom"/>
          </w:tcPr>
          <w:p>
            <w:pPr>
              <w:jc w:val="right"/>
              <w:ind w:right="177"/>
              <w:spacing w:after="0"/>
              <w:rPr>
                <w:sz w:val="20"/>
                <w:szCs w:val="20"/>
                <w:color w:val="auto"/>
              </w:rPr>
            </w:pPr>
            <w:r>
              <w:rPr>
                <w:rFonts w:ascii="Arial" w:cs="Arial" w:eastAsia="Arial" w:hAnsi="Arial"/>
                <w:sz w:val="13"/>
                <w:szCs w:val="13"/>
                <w:color w:val="auto"/>
              </w:rPr>
              <w:t>92.36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109,717</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279,764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-410210</wp:posOffset>
            </wp:positionV>
            <wp:extent cx="6810375" cy="6259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6259830"/>
                    </a:xfrm>
                    <a:prstGeom prst="rect">
                      <a:avLst/>
                    </a:prstGeom>
                    <a:noFill/>
                  </pic:spPr>
                </pic:pic>
              </a:graphicData>
            </a:graphic>
          </wp:anchor>
        </w:drawing>
      </w:r>
    </w:p>
    <w:p>
      <w:pPr>
        <w:spacing w:after="0" w:line="206" w:lineRule="exact"/>
        <w:rPr>
          <w:sz w:val="20"/>
          <w:szCs w:val="20"/>
          <w:color w:val="auto"/>
        </w:rPr>
      </w:pPr>
    </w:p>
    <w:p>
      <w:pPr>
        <w:ind w:left="620" w:right="340" w:hanging="484"/>
        <w:spacing w:after="0" w:line="218" w:lineRule="auto"/>
        <w:tabs>
          <w:tab w:leader="none" w:pos="6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dollar amounts reported in the column “Compensation Actually Paid to PEO” (column (c)) represent the amount of Compensation ActuallyMichaelto Casey, our former CEO, as computed in accordance with Item 402(v) of Regulation S-K. The dollar amounts do not reflect the actual amount of compensation earned by or paid to the CEO during the applicable year. To calculate CAP to the CEO, for each of the years shown, the following amounts were deducted from and added to Summary Compensation Table total compensation:</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520" w:type="dxa"/>
            <w:vAlign w:val="bottom"/>
            <w:tcBorders>
              <w:top w:val="single" w:sz="8" w:color="123054"/>
            </w:tcBorders>
          </w:tcPr>
          <w:p>
            <w:pPr>
              <w:spacing w:after="0"/>
              <w:rPr>
                <w:sz w:val="24"/>
                <w:szCs w:val="24"/>
                <w:color w:val="auto"/>
              </w:rPr>
            </w:pPr>
          </w:p>
        </w:tc>
        <w:tc>
          <w:tcPr>
            <w:tcW w:w="220" w:type="dxa"/>
            <w:vAlign w:val="bottom"/>
            <w:tcBorders>
              <w:top w:val="single" w:sz="8" w:color="123054"/>
              <w:right w:val="single" w:sz="8" w:color="123054"/>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right w:val="single" w:sz="8" w:color="123054"/>
            </w:tcBorders>
          </w:tcPr>
          <w:p>
            <w:pPr>
              <w:spacing w:after="0"/>
              <w:rPr>
                <w:sz w:val="24"/>
                <w:szCs w:val="24"/>
                <w:color w:val="auto"/>
              </w:rPr>
            </w:pPr>
          </w:p>
        </w:tc>
        <w:tc>
          <w:tcPr>
            <w:tcW w:w="1060" w:type="dxa"/>
            <w:vAlign w:val="bottom"/>
            <w:tcBorders>
              <w:right w:val="single" w:sz="8" w:color="123054"/>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right w:val="single" w:sz="8" w:color="123054"/>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123054"/>
            </w:tcBorders>
          </w:tcPr>
          <w:p>
            <w:pPr>
              <w:spacing w:after="0"/>
              <w:rPr>
                <w:sz w:val="24"/>
                <w:szCs w:val="24"/>
                <w:color w:val="auto"/>
              </w:rPr>
            </w:pPr>
          </w:p>
        </w:tc>
        <w:tc>
          <w:tcPr>
            <w:tcW w:w="1080" w:type="dxa"/>
            <w:vAlign w:val="bottom"/>
            <w:tcBorders>
              <w:top w:val="single" w:sz="8" w:color="123054"/>
              <w:right w:val="single" w:sz="8" w:color="123054"/>
            </w:tcBorders>
          </w:tcPr>
          <w:p>
            <w:pPr>
              <w:spacing w:after="0"/>
              <w:rPr>
                <w:sz w:val="24"/>
                <w:szCs w:val="24"/>
                <w:color w:val="auto"/>
              </w:rPr>
            </w:pPr>
          </w:p>
        </w:tc>
        <w:tc>
          <w:tcPr>
            <w:tcW w:w="340" w:type="dxa"/>
            <w:vAlign w:val="bottom"/>
            <w:tcBorders>
              <w:top w:val="single" w:sz="8" w:color="123054"/>
            </w:tcBorders>
          </w:tcPr>
          <w:p>
            <w:pPr>
              <w:spacing w:after="0"/>
              <w:rPr>
                <w:sz w:val="24"/>
                <w:szCs w:val="24"/>
                <w:color w:val="auto"/>
              </w:rPr>
            </w:pPr>
          </w:p>
        </w:tc>
        <w:tc>
          <w:tcPr>
            <w:tcW w:w="600" w:type="dxa"/>
            <w:vAlign w:val="bottom"/>
            <w:tcBorders>
              <w:top w:val="single" w:sz="8" w:color="123054"/>
              <w:right w:val="single" w:sz="8" w:color="123054"/>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right w:val="single" w:sz="8" w:color="123054"/>
            </w:tcBorders>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220" w:type="dxa"/>
            <w:vAlign w:val="bottom"/>
            <w:tcBorders>
              <w:right w:val="single" w:sz="8" w:color="123054"/>
            </w:tcBorders>
            <w:shd w:val="clear" w:color="auto" w:fill="123054"/>
          </w:tcPr>
          <w:p>
            <w:pPr>
              <w:spacing w:after="0"/>
              <w:rPr>
                <w:sz w:val="16"/>
                <w:szCs w:val="16"/>
                <w:color w:val="auto"/>
              </w:rPr>
            </w:pPr>
          </w:p>
        </w:tc>
        <w:tc>
          <w:tcPr>
            <w:tcW w:w="300" w:type="dxa"/>
            <w:vAlign w:val="bottom"/>
            <w:shd w:val="clear" w:color="auto" w:fill="123054"/>
          </w:tcPr>
          <w:p>
            <w:pPr>
              <w:spacing w:after="0"/>
              <w:rPr>
                <w:sz w:val="16"/>
                <w:szCs w:val="16"/>
                <w:color w:val="auto"/>
              </w:rPr>
            </w:pPr>
          </w:p>
        </w:tc>
        <w:tc>
          <w:tcPr>
            <w:tcW w:w="5320" w:type="dxa"/>
            <w:vAlign w:val="bottom"/>
            <w:gridSpan w:val="10"/>
            <w:shd w:val="clear" w:color="auto" w:fill="123054"/>
          </w:tcPr>
          <w:p>
            <w:pPr>
              <w:jc w:val="right"/>
              <w:spacing w:after="0"/>
              <w:rPr>
                <w:sz w:val="20"/>
                <w:szCs w:val="20"/>
                <w:color w:val="auto"/>
              </w:rPr>
            </w:pPr>
            <w:r>
              <w:rPr>
                <w:rFonts w:ascii="Arial" w:cs="Arial" w:eastAsia="Arial" w:hAnsi="Arial"/>
                <w:sz w:val="13"/>
                <w:szCs w:val="13"/>
                <w:b w:val="1"/>
                <w:bCs w:val="1"/>
                <w:color w:val="FFFFFF"/>
                <w:w w:val="97"/>
              </w:rPr>
              <w:t>PEO Summary Compensation Table Total to Compensation Actually Paid Reconciliation</w:t>
            </w:r>
          </w:p>
        </w:tc>
        <w:tc>
          <w:tcPr>
            <w:tcW w:w="600" w:type="dxa"/>
            <w:vAlign w:val="bottom"/>
            <w:tcBorders>
              <w:right w:val="single" w:sz="8" w:color="123054"/>
            </w:tcBorders>
            <w:shd w:val="clear" w:color="auto" w:fill="123054"/>
          </w:tcPr>
          <w:p>
            <w:pPr>
              <w:spacing w:after="0"/>
              <w:rPr>
                <w:sz w:val="16"/>
                <w:szCs w:val="16"/>
                <w:color w:val="auto"/>
              </w:rPr>
            </w:pPr>
          </w:p>
        </w:tc>
        <w:tc>
          <w:tcPr>
            <w:tcW w:w="580" w:type="dxa"/>
            <w:vAlign w:val="bottom"/>
            <w:tcBorders>
              <w:right w:val="single" w:sz="8" w:color="123054"/>
            </w:tcBorders>
            <w:shd w:val="clear" w:color="auto" w:fill="123054"/>
          </w:tcPr>
          <w:p>
            <w:pPr>
              <w:spacing w:after="0"/>
              <w:rPr>
                <w:sz w:val="16"/>
                <w:szCs w:val="16"/>
                <w:color w:val="auto"/>
              </w:rPr>
            </w:pPr>
          </w:p>
        </w:tc>
        <w:tc>
          <w:tcPr>
            <w:tcW w:w="140" w:type="dxa"/>
            <w:vAlign w:val="bottom"/>
            <w:shd w:val="clear" w:color="auto" w:fill="123054"/>
          </w:tcPr>
          <w:p>
            <w:pPr>
              <w:spacing w:after="0"/>
              <w:rPr>
                <w:sz w:val="16"/>
                <w:szCs w:val="16"/>
                <w:color w:val="auto"/>
              </w:rPr>
            </w:pPr>
          </w:p>
        </w:tc>
        <w:tc>
          <w:tcPr>
            <w:tcW w:w="240" w:type="dxa"/>
            <w:vAlign w:val="bottom"/>
            <w:tcBorders>
              <w:right w:val="single" w:sz="8" w:color="123054"/>
            </w:tcBorders>
            <w:shd w:val="clear" w:color="auto" w:fill="123054"/>
          </w:tcPr>
          <w:p>
            <w:pPr>
              <w:spacing w:after="0"/>
              <w:rPr>
                <w:sz w:val="16"/>
                <w:szCs w:val="16"/>
                <w:color w:val="auto"/>
              </w:rPr>
            </w:pPr>
          </w:p>
        </w:tc>
        <w:tc>
          <w:tcPr>
            <w:tcW w:w="780" w:type="dxa"/>
            <w:vAlign w:val="bottom"/>
            <w:shd w:val="clear" w:color="auto" w:fill="123054"/>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220" w:type="dxa"/>
            <w:vAlign w:val="bottom"/>
            <w:tcBorders>
              <w:right w:val="single" w:sz="8" w:color="123054"/>
            </w:tcBorders>
            <w:shd w:val="clear" w:color="auto" w:fill="123054"/>
          </w:tcPr>
          <w:p>
            <w:pPr>
              <w:spacing w:after="0"/>
              <w:rPr>
                <w:sz w:val="16"/>
                <w:szCs w:val="16"/>
                <w:color w:val="auto"/>
              </w:rPr>
            </w:pPr>
          </w:p>
        </w:tc>
        <w:tc>
          <w:tcPr>
            <w:tcW w:w="300" w:type="dxa"/>
            <w:vAlign w:val="bottom"/>
            <w:shd w:val="clear" w:color="auto" w:fill="123054"/>
          </w:tcPr>
          <w:p>
            <w:pPr>
              <w:spacing w:after="0"/>
              <w:rPr>
                <w:sz w:val="16"/>
                <w:szCs w:val="16"/>
                <w:color w:val="auto"/>
              </w:rPr>
            </w:pPr>
          </w:p>
        </w:tc>
        <w:tc>
          <w:tcPr>
            <w:tcW w:w="760" w:type="dxa"/>
            <w:vAlign w:val="bottom"/>
            <w:tcBorders>
              <w:right w:val="single" w:sz="8" w:color="123054"/>
            </w:tcBorders>
            <w:shd w:val="clear" w:color="auto" w:fill="123054"/>
          </w:tcPr>
          <w:p>
            <w:pPr>
              <w:spacing w:after="0"/>
              <w:rPr>
                <w:sz w:val="16"/>
                <w:szCs w:val="16"/>
                <w:color w:val="auto"/>
              </w:rPr>
            </w:pPr>
          </w:p>
        </w:tc>
        <w:tc>
          <w:tcPr>
            <w:tcW w:w="1060" w:type="dxa"/>
            <w:vAlign w:val="bottom"/>
            <w:tcBorders>
              <w:right w:val="single" w:sz="8" w:color="123054"/>
            </w:tcBorders>
            <w:shd w:val="clear" w:color="auto" w:fill="123054"/>
          </w:tcPr>
          <w:p>
            <w:pPr>
              <w:spacing w:after="0"/>
              <w:rPr>
                <w:sz w:val="16"/>
                <w:szCs w:val="16"/>
                <w:color w:val="auto"/>
              </w:rPr>
            </w:pPr>
          </w:p>
        </w:tc>
        <w:tc>
          <w:tcPr>
            <w:tcW w:w="680" w:type="dxa"/>
            <w:vAlign w:val="bottom"/>
            <w:tcBorders>
              <w:right w:val="single" w:sz="8" w:color="123054"/>
            </w:tcBorders>
            <w:shd w:val="clear" w:color="auto" w:fill="123054"/>
          </w:tcPr>
          <w:p>
            <w:pPr>
              <w:spacing w:after="0"/>
              <w:rPr>
                <w:sz w:val="16"/>
                <w:szCs w:val="16"/>
                <w:color w:val="auto"/>
              </w:rPr>
            </w:pPr>
          </w:p>
        </w:tc>
        <w:tc>
          <w:tcPr>
            <w:tcW w:w="120" w:type="dxa"/>
            <w:vAlign w:val="bottom"/>
            <w:shd w:val="clear" w:color="auto" w:fill="123054"/>
          </w:tcPr>
          <w:p>
            <w:pPr>
              <w:spacing w:after="0"/>
              <w:rPr>
                <w:sz w:val="16"/>
                <w:szCs w:val="16"/>
                <w:color w:val="auto"/>
              </w:rPr>
            </w:pPr>
          </w:p>
        </w:tc>
        <w:tc>
          <w:tcPr>
            <w:tcW w:w="220" w:type="dxa"/>
            <w:vAlign w:val="bottom"/>
            <w:tcBorders>
              <w:right w:val="single" w:sz="8" w:color="123054"/>
            </w:tcBorders>
            <w:shd w:val="clear" w:color="auto" w:fill="123054"/>
          </w:tcPr>
          <w:p>
            <w:pPr>
              <w:spacing w:after="0"/>
              <w:rPr>
                <w:sz w:val="16"/>
                <w:szCs w:val="16"/>
                <w:color w:val="auto"/>
              </w:rPr>
            </w:pPr>
          </w:p>
        </w:tc>
        <w:tc>
          <w:tcPr>
            <w:tcW w:w="760" w:type="dxa"/>
            <w:vAlign w:val="bottom"/>
            <w:tcBorders>
              <w:right w:val="single" w:sz="8" w:color="123054"/>
            </w:tcBorders>
            <w:shd w:val="clear" w:color="auto" w:fill="123054"/>
          </w:tcPr>
          <w:p>
            <w:pPr>
              <w:spacing w:after="0"/>
              <w:rPr>
                <w:sz w:val="16"/>
                <w:szCs w:val="16"/>
                <w:color w:val="auto"/>
              </w:rPr>
            </w:pPr>
          </w:p>
        </w:tc>
        <w:tc>
          <w:tcPr>
            <w:tcW w:w="100" w:type="dxa"/>
            <w:vAlign w:val="bottom"/>
            <w:shd w:val="clear" w:color="auto" w:fill="123054"/>
          </w:tcPr>
          <w:p>
            <w:pPr>
              <w:spacing w:after="0"/>
              <w:rPr>
                <w:sz w:val="16"/>
                <w:szCs w:val="16"/>
                <w:color w:val="auto"/>
              </w:rPr>
            </w:pPr>
          </w:p>
        </w:tc>
        <w:tc>
          <w:tcPr>
            <w:tcW w:w="200" w:type="dxa"/>
            <w:vAlign w:val="bottom"/>
            <w:tcBorders>
              <w:right w:val="single" w:sz="8" w:color="123054"/>
            </w:tcBorders>
            <w:shd w:val="clear" w:color="auto" w:fill="123054"/>
          </w:tcPr>
          <w:p>
            <w:pPr>
              <w:spacing w:after="0"/>
              <w:rPr>
                <w:sz w:val="16"/>
                <w:szCs w:val="16"/>
                <w:color w:val="auto"/>
              </w:rPr>
            </w:pPr>
          </w:p>
        </w:tc>
        <w:tc>
          <w:tcPr>
            <w:tcW w:w="1080" w:type="dxa"/>
            <w:vAlign w:val="bottom"/>
            <w:tcBorders>
              <w:right w:val="single" w:sz="8" w:color="123054"/>
            </w:tcBorders>
            <w:shd w:val="clear" w:color="auto" w:fill="123054"/>
          </w:tcPr>
          <w:p>
            <w:pPr>
              <w:jc w:val="right"/>
              <w:ind w:right="291"/>
              <w:spacing w:after="0"/>
              <w:rPr>
                <w:sz w:val="20"/>
                <w:szCs w:val="20"/>
                <w:color w:val="auto"/>
              </w:rPr>
            </w:pPr>
            <w:r>
              <w:rPr>
                <w:rFonts w:ascii="Arial" w:cs="Arial" w:eastAsia="Arial" w:hAnsi="Arial"/>
                <w:sz w:val="13"/>
                <w:szCs w:val="13"/>
                <w:b w:val="1"/>
                <w:bCs w:val="1"/>
                <w:color w:val="FFFFFF"/>
              </w:rPr>
              <w:t>Deductions</w:t>
            </w:r>
          </w:p>
        </w:tc>
        <w:tc>
          <w:tcPr>
            <w:tcW w:w="340" w:type="dxa"/>
            <w:vAlign w:val="bottom"/>
            <w:shd w:val="clear" w:color="auto" w:fill="123054"/>
          </w:tcPr>
          <w:p>
            <w:pPr>
              <w:spacing w:after="0"/>
              <w:rPr>
                <w:sz w:val="16"/>
                <w:szCs w:val="16"/>
                <w:color w:val="auto"/>
              </w:rPr>
            </w:pPr>
          </w:p>
        </w:tc>
        <w:tc>
          <w:tcPr>
            <w:tcW w:w="600" w:type="dxa"/>
            <w:vAlign w:val="bottom"/>
            <w:tcBorders>
              <w:right w:val="single" w:sz="8" w:color="123054"/>
            </w:tcBorders>
            <w:shd w:val="clear" w:color="auto" w:fill="123054"/>
          </w:tcPr>
          <w:p>
            <w:pPr>
              <w:spacing w:after="0"/>
              <w:rPr>
                <w:sz w:val="16"/>
                <w:szCs w:val="16"/>
                <w:color w:val="auto"/>
              </w:rPr>
            </w:pPr>
          </w:p>
        </w:tc>
        <w:tc>
          <w:tcPr>
            <w:tcW w:w="580" w:type="dxa"/>
            <w:vAlign w:val="bottom"/>
            <w:tcBorders>
              <w:right w:val="single" w:sz="8" w:color="123054"/>
            </w:tcBorders>
            <w:shd w:val="clear" w:color="auto" w:fill="123054"/>
          </w:tcPr>
          <w:p>
            <w:pPr>
              <w:spacing w:after="0"/>
              <w:rPr>
                <w:sz w:val="16"/>
                <w:szCs w:val="16"/>
                <w:color w:val="auto"/>
              </w:rPr>
            </w:pPr>
          </w:p>
        </w:tc>
        <w:tc>
          <w:tcPr>
            <w:tcW w:w="140" w:type="dxa"/>
            <w:vAlign w:val="bottom"/>
            <w:shd w:val="clear" w:color="auto" w:fill="123054"/>
          </w:tcPr>
          <w:p>
            <w:pPr>
              <w:spacing w:after="0"/>
              <w:rPr>
                <w:sz w:val="16"/>
                <w:szCs w:val="16"/>
                <w:color w:val="auto"/>
              </w:rPr>
            </w:pPr>
          </w:p>
        </w:tc>
        <w:tc>
          <w:tcPr>
            <w:tcW w:w="240" w:type="dxa"/>
            <w:vAlign w:val="bottom"/>
            <w:tcBorders>
              <w:right w:val="single" w:sz="8" w:color="123054"/>
            </w:tcBorders>
            <w:shd w:val="clear" w:color="auto" w:fill="123054"/>
          </w:tcPr>
          <w:p>
            <w:pPr>
              <w:spacing w:after="0"/>
              <w:rPr>
                <w:sz w:val="16"/>
                <w:szCs w:val="16"/>
                <w:color w:val="auto"/>
              </w:rPr>
            </w:pPr>
          </w:p>
        </w:tc>
        <w:tc>
          <w:tcPr>
            <w:tcW w:w="780" w:type="dxa"/>
            <w:vAlign w:val="bottom"/>
            <w:shd w:val="clear" w:color="auto" w:fill="123054"/>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20" w:type="dxa"/>
            <w:vAlign w:val="bottom"/>
            <w:tcBorders>
              <w:right w:val="single" w:sz="8" w:color="123054"/>
            </w:tcBorders>
            <w:shd w:val="clear" w:color="auto" w:fill="123054"/>
          </w:tcPr>
          <w:p>
            <w:pPr>
              <w:spacing w:after="0"/>
              <w:rPr>
                <w:sz w:val="12"/>
                <w:szCs w:val="12"/>
                <w:color w:val="auto"/>
              </w:rPr>
            </w:pPr>
          </w:p>
        </w:tc>
        <w:tc>
          <w:tcPr>
            <w:tcW w:w="300" w:type="dxa"/>
            <w:vAlign w:val="bottom"/>
            <w:shd w:val="clear" w:color="auto" w:fill="123054"/>
          </w:tcPr>
          <w:p>
            <w:pPr>
              <w:spacing w:after="0"/>
              <w:rPr>
                <w:sz w:val="12"/>
                <w:szCs w:val="12"/>
                <w:color w:val="auto"/>
              </w:rPr>
            </w:pPr>
          </w:p>
        </w:tc>
        <w:tc>
          <w:tcPr>
            <w:tcW w:w="760" w:type="dxa"/>
            <w:vAlign w:val="bottom"/>
            <w:tcBorders>
              <w:right w:val="single" w:sz="8" w:color="123054"/>
            </w:tcBorders>
            <w:shd w:val="clear" w:color="auto" w:fill="123054"/>
          </w:tcPr>
          <w:p>
            <w:pPr>
              <w:spacing w:after="0"/>
              <w:rPr>
                <w:sz w:val="12"/>
                <w:szCs w:val="12"/>
                <w:color w:val="auto"/>
              </w:rPr>
            </w:pPr>
          </w:p>
        </w:tc>
        <w:tc>
          <w:tcPr>
            <w:tcW w:w="1060" w:type="dxa"/>
            <w:vAlign w:val="bottom"/>
            <w:tcBorders>
              <w:right w:val="single" w:sz="8" w:color="123054"/>
            </w:tcBorders>
            <w:shd w:val="clear" w:color="auto" w:fill="123054"/>
          </w:tcPr>
          <w:p>
            <w:pPr>
              <w:spacing w:after="0"/>
              <w:rPr>
                <w:sz w:val="12"/>
                <w:szCs w:val="12"/>
                <w:color w:val="auto"/>
              </w:rPr>
            </w:pPr>
          </w:p>
        </w:tc>
        <w:tc>
          <w:tcPr>
            <w:tcW w:w="680" w:type="dxa"/>
            <w:vAlign w:val="bottom"/>
            <w:tcBorders>
              <w:right w:val="single" w:sz="8" w:color="123054"/>
            </w:tcBorders>
            <w:shd w:val="clear" w:color="auto" w:fill="123054"/>
          </w:tcPr>
          <w:p>
            <w:pPr>
              <w:spacing w:after="0"/>
              <w:rPr>
                <w:sz w:val="12"/>
                <w:szCs w:val="12"/>
                <w:color w:val="auto"/>
              </w:rPr>
            </w:pPr>
          </w:p>
        </w:tc>
        <w:tc>
          <w:tcPr>
            <w:tcW w:w="120" w:type="dxa"/>
            <w:vAlign w:val="bottom"/>
            <w:shd w:val="clear" w:color="auto" w:fill="123054"/>
          </w:tcPr>
          <w:p>
            <w:pPr>
              <w:spacing w:after="0"/>
              <w:rPr>
                <w:sz w:val="12"/>
                <w:szCs w:val="12"/>
                <w:color w:val="auto"/>
              </w:rPr>
            </w:pPr>
          </w:p>
        </w:tc>
        <w:tc>
          <w:tcPr>
            <w:tcW w:w="980" w:type="dxa"/>
            <w:vAlign w:val="bottom"/>
            <w:tcBorders>
              <w:right w:val="single" w:sz="8" w:color="123054"/>
            </w:tcBorders>
            <w:gridSpan w:val="2"/>
            <w:shd w:val="clear" w:color="auto" w:fill="123054"/>
          </w:tcPr>
          <w:p>
            <w:pPr>
              <w:jc w:val="center"/>
              <w:ind w:right="100"/>
              <w:spacing w:after="0"/>
              <w:rPr>
                <w:sz w:val="20"/>
                <w:szCs w:val="20"/>
                <w:color w:val="auto"/>
              </w:rPr>
            </w:pPr>
            <w:r>
              <w:rPr>
                <w:rFonts w:ascii="Arial" w:cs="Arial" w:eastAsia="Arial" w:hAnsi="Arial"/>
                <w:sz w:val="13"/>
                <w:szCs w:val="13"/>
                <w:b w:val="1"/>
                <w:bCs w:val="1"/>
                <w:color w:val="FFFFFF"/>
                <w:w w:val="94"/>
              </w:rPr>
              <w:t>Summary</w:t>
            </w:r>
          </w:p>
        </w:tc>
        <w:tc>
          <w:tcPr>
            <w:tcW w:w="100" w:type="dxa"/>
            <w:vAlign w:val="bottom"/>
            <w:shd w:val="clear" w:color="auto" w:fill="123054"/>
          </w:tcPr>
          <w:p>
            <w:pPr>
              <w:spacing w:after="0"/>
              <w:rPr>
                <w:sz w:val="12"/>
                <w:szCs w:val="12"/>
                <w:color w:val="auto"/>
              </w:rPr>
            </w:pPr>
          </w:p>
        </w:tc>
        <w:tc>
          <w:tcPr>
            <w:tcW w:w="1280" w:type="dxa"/>
            <w:vAlign w:val="bottom"/>
            <w:tcBorders>
              <w:right w:val="single" w:sz="8" w:color="123054"/>
            </w:tcBorders>
            <w:gridSpan w:val="2"/>
            <w:shd w:val="clear" w:color="auto" w:fill="123054"/>
          </w:tcPr>
          <w:p>
            <w:pPr>
              <w:jc w:val="right"/>
              <w:ind w:right="191"/>
              <w:spacing w:after="0"/>
              <w:rPr>
                <w:sz w:val="20"/>
                <w:szCs w:val="20"/>
                <w:color w:val="auto"/>
              </w:rPr>
            </w:pPr>
            <w:r>
              <w:rPr>
                <w:rFonts w:ascii="Arial" w:cs="Arial" w:eastAsia="Arial" w:hAnsi="Arial"/>
                <w:sz w:val="13"/>
                <w:szCs w:val="13"/>
                <w:b w:val="1"/>
                <w:bCs w:val="1"/>
                <w:color w:val="FFFFFF"/>
              </w:rPr>
              <w:t>from Summary</w:t>
            </w:r>
          </w:p>
        </w:tc>
        <w:tc>
          <w:tcPr>
            <w:tcW w:w="340" w:type="dxa"/>
            <w:vAlign w:val="bottom"/>
            <w:shd w:val="clear" w:color="auto" w:fill="123054"/>
          </w:tcPr>
          <w:p>
            <w:pPr>
              <w:spacing w:after="0"/>
              <w:rPr>
                <w:sz w:val="12"/>
                <w:szCs w:val="12"/>
                <w:color w:val="auto"/>
              </w:rPr>
            </w:pPr>
          </w:p>
        </w:tc>
        <w:tc>
          <w:tcPr>
            <w:tcW w:w="600" w:type="dxa"/>
            <w:vAlign w:val="bottom"/>
            <w:tcBorders>
              <w:right w:val="single" w:sz="8" w:color="123054"/>
            </w:tcBorders>
            <w:shd w:val="clear" w:color="auto" w:fill="123054"/>
          </w:tcPr>
          <w:p>
            <w:pPr>
              <w:spacing w:after="0"/>
              <w:rPr>
                <w:sz w:val="12"/>
                <w:szCs w:val="12"/>
                <w:color w:val="auto"/>
              </w:rPr>
            </w:pPr>
          </w:p>
        </w:tc>
        <w:tc>
          <w:tcPr>
            <w:tcW w:w="580" w:type="dxa"/>
            <w:vAlign w:val="bottom"/>
            <w:tcBorders>
              <w:right w:val="single" w:sz="8" w:color="123054"/>
            </w:tcBorders>
            <w:shd w:val="clear" w:color="auto" w:fill="123054"/>
          </w:tcPr>
          <w:p>
            <w:pPr>
              <w:spacing w:after="0"/>
              <w:rPr>
                <w:sz w:val="12"/>
                <w:szCs w:val="12"/>
                <w:color w:val="auto"/>
              </w:rPr>
            </w:pPr>
          </w:p>
        </w:tc>
        <w:tc>
          <w:tcPr>
            <w:tcW w:w="140" w:type="dxa"/>
            <w:vAlign w:val="bottom"/>
            <w:shd w:val="clear" w:color="auto" w:fill="123054"/>
          </w:tcPr>
          <w:p>
            <w:pPr>
              <w:spacing w:after="0"/>
              <w:rPr>
                <w:sz w:val="12"/>
                <w:szCs w:val="12"/>
                <w:color w:val="auto"/>
              </w:rPr>
            </w:pPr>
          </w:p>
        </w:tc>
        <w:tc>
          <w:tcPr>
            <w:tcW w:w="240" w:type="dxa"/>
            <w:vAlign w:val="bottom"/>
            <w:tcBorders>
              <w:right w:val="single" w:sz="8" w:color="123054"/>
            </w:tcBorders>
            <w:shd w:val="clear" w:color="auto" w:fill="123054"/>
          </w:tcPr>
          <w:p>
            <w:pPr>
              <w:spacing w:after="0"/>
              <w:rPr>
                <w:sz w:val="12"/>
                <w:szCs w:val="12"/>
                <w:color w:val="auto"/>
              </w:rPr>
            </w:pPr>
          </w:p>
        </w:tc>
        <w:tc>
          <w:tcPr>
            <w:tcW w:w="780" w:type="dxa"/>
            <w:vAlign w:val="bottom"/>
            <w:shd w:val="clear" w:color="auto" w:fill="123054"/>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123054"/>
            </w:tcBorders>
          </w:tcPr>
          <w:p>
            <w:pPr>
              <w:spacing w:after="0"/>
              <w:rPr>
                <w:sz w:val="13"/>
                <w:szCs w:val="13"/>
                <w:color w:val="auto"/>
              </w:rPr>
            </w:pPr>
          </w:p>
        </w:tc>
        <w:tc>
          <w:tcPr>
            <w:tcW w:w="220" w:type="dxa"/>
            <w:vAlign w:val="bottom"/>
            <w:tcBorders>
              <w:bottom w:val="single" w:sz="8" w:color="123054"/>
              <w:right w:val="single" w:sz="8" w:color="123054"/>
            </w:tcBorders>
            <w:shd w:val="clear" w:color="auto" w:fill="123054"/>
          </w:tcPr>
          <w:p>
            <w:pPr>
              <w:spacing w:after="0"/>
              <w:rPr>
                <w:sz w:val="13"/>
                <w:szCs w:val="13"/>
                <w:color w:val="auto"/>
              </w:rPr>
            </w:pPr>
          </w:p>
        </w:tc>
        <w:tc>
          <w:tcPr>
            <w:tcW w:w="300" w:type="dxa"/>
            <w:vAlign w:val="bottom"/>
            <w:tcBorders>
              <w:bottom w:val="single" w:sz="8" w:color="123054"/>
            </w:tcBorders>
            <w:shd w:val="clear" w:color="auto" w:fill="123054"/>
          </w:tcPr>
          <w:p>
            <w:pPr>
              <w:spacing w:after="0"/>
              <w:rPr>
                <w:sz w:val="13"/>
                <w:szCs w:val="13"/>
                <w:color w:val="auto"/>
              </w:rPr>
            </w:pPr>
          </w:p>
        </w:tc>
        <w:tc>
          <w:tcPr>
            <w:tcW w:w="760" w:type="dxa"/>
            <w:vAlign w:val="bottom"/>
            <w:tcBorders>
              <w:bottom w:val="single" w:sz="8" w:color="123054"/>
              <w:right w:val="single" w:sz="8" w:color="123054"/>
            </w:tcBorders>
            <w:shd w:val="clear" w:color="auto" w:fill="123054"/>
          </w:tcPr>
          <w:p>
            <w:pPr>
              <w:spacing w:after="0"/>
              <w:rPr>
                <w:sz w:val="13"/>
                <w:szCs w:val="13"/>
                <w:color w:val="auto"/>
              </w:rPr>
            </w:pPr>
          </w:p>
        </w:tc>
        <w:tc>
          <w:tcPr>
            <w:tcW w:w="1060" w:type="dxa"/>
            <w:vAlign w:val="bottom"/>
            <w:tcBorders>
              <w:bottom w:val="single" w:sz="8" w:color="123054"/>
              <w:right w:val="single" w:sz="8" w:color="123054"/>
            </w:tcBorders>
            <w:shd w:val="clear" w:color="auto" w:fill="123054"/>
          </w:tcPr>
          <w:p>
            <w:pPr>
              <w:spacing w:after="0"/>
              <w:rPr>
                <w:sz w:val="13"/>
                <w:szCs w:val="13"/>
                <w:color w:val="auto"/>
              </w:rPr>
            </w:pPr>
          </w:p>
        </w:tc>
        <w:tc>
          <w:tcPr>
            <w:tcW w:w="680" w:type="dxa"/>
            <w:vAlign w:val="bottom"/>
            <w:tcBorders>
              <w:bottom w:val="single" w:sz="8" w:color="123054"/>
              <w:right w:val="single" w:sz="8" w:color="123054"/>
            </w:tcBorders>
            <w:shd w:val="clear" w:color="auto" w:fill="123054"/>
          </w:tcPr>
          <w:p>
            <w:pPr>
              <w:spacing w:after="0"/>
              <w:rPr>
                <w:sz w:val="13"/>
                <w:szCs w:val="13"/>
                <w:color w:val="auto"/>
              </w:rPr>
            </w:pPr>
          </w:p>
        </w:tc>
        <w:tc>
          <w:tcPr>
            <w:tcW w:w="120" w:type="dxa"/>
            <w:vAlign w:val="bottom"/>
            <w:tcBorders>
              <w:bottom w:val="single" w:sz="8" w:color="123054"/>
            </w:tcBorders>
            <w:shd w:val="clear" w:color="auto" w:fill="123054"/>
          </w:tcPr>
          <w:p>
            <w:pPr>
              <w:spacing w:after="0"/>
              <w:rPr>
                <w:sz w:val="13"/>
                <w:szCs w:val="13"/>
                <w:color w:val="auto"/>
              </w:rPr>
            </w:pPr>
          </w:p>
        </w:tc>
        <w:tc>
          <w:tcPr>
            <w:tcW w:w="980" w:type="dxa"/>
            <w:vAlign w:val="bottom"/>
            <w:tcBorders>
              <w:bottom w:val="single" w:sz="8" w:color="123054"/>
              <w:right w:val="single" w:sz="8" w:color="123054"/>
            </w:tcBorders>
            <w:gridSpan w:val="2"/>
            <w:shd w:val="clear" w:color="auto" w:fill="123054"/>
          </w:tcPr>
          <w:p>
            <w:pPr>
              <w:jc w:val="center"/>
              <w:ind w:right="60"/>
              <w:spacing w:after="0"/>
              <w:rPr>
                <w:sz w:val="20"/>
                <w:szCs w:val="20"/>
                <w:color w:val="auto"/>
              </w:rPr>
            </w:pPr>
            <w:r>
              <w:rPr>
                <w:rFonts w:ascii="Arial" w:cs="Arial" w:eastAsia="Arial" w:hAnsi="Arial"/>
                <w:sz w:val="13"/>
                <w:szCs w:val="13"/>
                <w:b w:val="1"/>
                <w:bCs w:val="1"/>
                <w:color w:val="FFFFFF"/>
                <w:w w:val="97"/>
              </w:rPr>
              <w:t>Compensation</w:t>
            </w:r>
          </w:p>
        </w:tc>
        <w:tc>
          <w:tcPr>
            <w:tcW w:w="100" w:type="dxa"/>
            <w:vAlign w:val="bottom"/>
            <w:tcBorders>
              <w:bottom w:val="single" w:sz="8" w:color="123054"/>
            </w:tcBorders>
            <w:shd w:val="clear" w:color="auto" w:fill="123054"/>
          </w:tcPr>
          <w:p>
            <w:pPr>
              <w:spacing w:after="0"/>
              <w:rPr>
                <w:sz w:val="13"/>
                <w:szCs w:val="13"/>
                <w:color w:val="auto"/>
              </w:rPr>
            </w:pPr>
          </w:p>
        </w:tc>
        <w:tc>
          <w:tcPr>
            <w:tcW w:w="1280" w:type="dxa"/>
            <w:vAlign w:val="bottom"/>
            <w:tcBorders>
              <w:bottom w:val="single" w:sz="8" w:color="123054"/>
              <w:right w:val="single" w:sz="8" w:color="123054"/>
            </w:tcBorders>
            <w:gridSpan w:val="2"/>
            <w:shd w:val="clear" w:color="auto" w:fill="123054"/>
          </w:tcPr>
          <w:p>
            <w:pPr>
              <w:jc w:val="right"/>
              <w:ind w:right="11"/>
              <w:spacing w:after="0"/>
              <w:rPr>
                <w:sz w:val="20"/>
                <w:szCs w:val="20"/>
                <w:color w:val="auto"/>
              </w:rPr>
            </w:pPr>
            <w:r>
              <w:rPr>
                <w:rFonts w:ascii="Arial" w:cs="Arial" w:eastAsia="Arial" w:hAnsi="Arial"/>
                <w:sz w:val="13"/>
                <w:szCs w:val="13"/>
                <w:b w:val="1"/>
                <w:bCs w:val="1"/>
                <w:color w:val="FFFFFF"/>
                <w:w w:val="93"/>
              </w:rPr>
              <w:t>Compensation Table</w:t>
            </w:r>
          </w:p>
        </w:tc>
        <w:tc>
          <w:tcPr>
            <w:tcW w:w="340" w:type="dxa"/>
            <w:vAlign w:val="bottom"/>
            <w:tcBorders>
              <w:bottom w:val="single" w:sz="8" w:color="123054"/>
            </w:tcBorders>
            <w:shd w:val="clear" w:color="auto" w:fill="123054"/>
          </w:tcPr>
          <w:p>
            <w:pPr>
              <w:spacing w:after="0"/>
              <w:rPr>
                <w:sz w:val="13"/>
                <w:szCs w:val="13"/>
                <w:color w:val="auto"/>
              </w:rPr>
            </w:pPr>
          </w:p>
        </w:tc>
        <w:tc>
          <w:tcPr>
            <w:tcW w:w="1180" w:type="dxa"/>
            <w:vAlign w:val="bottom"/>
            <w:tcBorders>
              <w:bottom w:val="single" w:sz="8" w:color="123054"/>
              <w:right w:val="single" w:sz="8" w:color="123054"/>
            </w:tcBorders>
            <w:gridSpan w:val="2"/>
            <w:shd w:val="clear" w:color="auto" w:fill="123054"/>
          </w:tcPr>
          <w:p>
            <w:pPr>
              <w:jc w:val="right"/>
              <w:ind w:right="329"/>
              <w:spacing w:after="0"/>
              <w:rPr>
                <w:sz w:val="20"/>
                <w:szCs w:val="20"/>
                <w:color w:val="auto"/>
              </w:rPr>
            </w:pPr>
            <w:r>
              <w:rPr>
                <w:rFonts w:ascii="Arial" w:cs="Arial" w:eastAsia="Arial" w:hAnsi="Arial"/>
                <w:sz w:val="13"/>
                <w:szCs w:val="13"/>
                <w:b w:val="1"/>
                <w:bCs w:val="1"/>
                <w:color w:val="FFFFFF"/>
                <w:w w:val="96"/>
              </w:rPr>
              <w:t>Equity Award</w:t>
            </w:r>
          </w:p>
        </w:tc>
        <w:tc>
          <w:tcPr>
            <w:tcW w:w="140" w:type="dxa"/>
            <w:vAlign w:val="bottom"/>
            <w:tcBorders>
              <w:bottom w:val="single" w:sz="8" w:color="123054"/>
            </w:tcBorders>
            <w:shd w:val="clear" w:color="auto" w:fill="123054"/>
          </w:tcPr>
          <w:p>
            <w:pPr>
              <w:spacing w:after="0"/>
              <w:rPr>
                <w:sz w:val="13"/>
                <w:szCs w:val="13"/>
                <w:color w:val="auto"/>
              </w:rPr>
            </w:pPr>
          </w:p>
        </w:tc>
        <w:tc>
          <w:tcPr>
            <w:tcW w:w="1020" w:type="dxa"/>
            <w:vAlign w:val="bottom"/>
            <w:tcBorders>
              <w:bottom w:val="single" w:sz="8" w:color="123054"/>
            </w:tcBorders>
            <w:gridSpan w:val="2"/>
            <w:shd w:val="clear" w:color="auto" w:fill="123054"/>
          </w:tcPr>
          <w:p>
            <w:pPr>
              <w:jc w:val="right"/>
              <w:ind w:right="120"/>
              <w:spacing w:after="0"/>
              <w:rPr>
                <w:sz w:val="20"/>
                <w:szCs w:val="20"/>
                <w:color w:val="auto"/>
              </w:rPr>
            </w:pPr>
            <w:r>
              <w:rPr>
                <w:rFonts w:ascii="Arial" w:cs="Arial" w:eastAsia="Arial" w:hAnsi="Arial"/>
                <w:sz w:val="13"/>
                <w:szCs w:val="13"/>
                <w:b w:val="1"/>
                <w:bCs w:val="1"/>
                <w:color w:val="FFFFFF"/>
                <w:w w:val="97"/>
              </w:rPr>
              <w:t>Compensation</w:t>
            </w:r>
          </w:p>
        </w:tc>
        <w:tc>
          <w:tcPr>
            <w:tcW w:w="60" w:type="dxa"/>
            <w:vAlign w:val="bottom"/>
            <w:tcBorders>
              <w:bottom w:val="single" w:sz="8" w:color="123054"/>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520" w:type="dxa"/>
            <w:vAlign w:val="bottom"/>
            <w:gridSpan w:val="2"/>
            <w:vMerge w:val="restart"/>
            <w:shd w:val="clear" w:color="auto" w:fill="123054"/>
          </w:tcPr>
          <w:p>
            <w:pPr>
              <w:jc w:val="right"/>
              <w:ind w:right="200"/>
              <w:spacing w:after="0" w:line="141" w:lineRule="exact"/>
              <w:rPr>
                <w:sz w:val="20"/>
                <w:szCs w:val="20"/>
                <w:color w:val="auto"/>
              </w:rPr>
            </w:pPr>
            <w:r>
              <w:rPr>
                <w:rFonts w:ascii="Arial" w:cs="Arial" w:eastAsia="Arial" w:hAnsi="Arial"/>
                <w:sz w:val="13"/>
                <w:szCs w:val="13"/>
                <w:b w:val="1"/>
                <w:bCs w:val="1"/>
                <w:color w:val="FFFFFF"/>
              </w:rPr>
              <w:t>Year</w:t>
            </w:r>
          </w:p>
        </w:tc>
        <w:tc>
          <w:tcPr>
            <w:tcW w:w="760" w:type="dxa"/>
            <w:vAlign w:val="bottom"/>
            <w:tcBorders>
              <w:right w:val="single" w:sz="8" w:color="123054"/>
            </w:tcBorders>
            <w:shd w:val="clear" w:color="auto" w:fill="123054"/>
          </w:tcPr>
          <w:p>
            <w:pPr>
              <w:spacing w:after="0"/>
              <w:rPr>
                <w:sz w:val="4"/>
                <w:szCs w:val="4"/>
                <w:color w:val="auto"/>
              </w:rPr>
            </w:pPr>
          </w:p>
        </w:tc>
        <w:tc>
          <w:tcPr>
            <w:tcW w:w="1060" w:type="dxa"/>
            <w:vAlign w:val="bottom"/>
            <w:tcBorders>
              <w:right w:val="single" w:sz="8" w:color="123054"/>
            </w:tcBorders>
            <w:shd w:val="clear" w:color="auto" w:fill="123054"/>
          </w:tcPr>
          <w:p>
            <w:pPr>
              <w:spacing w:after="0"/>
              <w:rPr>
                <w:sz w:val="4"/>
                <w:szCs w:val="4"/>
                <w:color w:val="auto"/>
              </w:rPr>
            </w:pPr>
          </w:p>
        </w:tc>
        <w:tc>
          <w:tcPr>
            <w:tcW w:w="680" w:type="dxa"/>
            <w:vAlign w:val="bottom"/>
            <w:tcBorders>
              <w:right w:val="single" w:sz="8" w:color="123054"/>
            </w:tcBorders>
            <w:shd w:val="clear" w:color="auto" w:fill="123054"/>
          </w:tcPr>
          <w:p>
            <w:pPr>
              <w:spacing w:after="0"/>
              <w:rPr>
                <w:sz w:val="4"/>
                <w:szCs w:val="4"/>
                <w:color w:val="auto"/>
              </w:rPr>
            </w:pPr>
          </w:p>
        </w:tc>
        <w:tc>
          <w:tcPr>
            <w:tcW w:w="120" w:type="dxa"/>
            <w:vAlign w:val="bottom"/>
            <w:shd w:val="clear" w:color="auto" w:fill="123054"/>
          </w:tcPr>
          <w:p>
            <w:pPr>
              <w:spacing w:after="0"/>
              <w:rPr>
                <w:sz w:val="4"/>
                <w:szCs w:val="4"/>
                <w:color w:val="auto"/>
              </w:rPr>
            </w:pPr>
          </w:p>
        </w:tc>
        <w:tc>
          <w:tcPr>
            <w:tcW w:w="980" w:type="dxa"/>
            <w:vAlign w:val="bottom"/>
            <w:tcBorders>
              <w:right w:val="single" w:sz="8" w:color="123054"/>
            </w:tcBorders>
            <w:gridSpan w:val="2"/>
            <w:vMerge w:val="restart"/>
            <w:shd w:val="clear" w:color="auto" w:fill="123054"/>
          </w:tcPr>
          <w:p>
            <w:pPr>
              <w:jc w:val="center"/>
              <w:ind w:right="120"/>
              <w:spacing w:after="0" w:line="141" w:lineRule="exact"/>
              <w:rPr>
                <w:sz w:val="20"/>
                <w:szCs w:val="20"/>
                <w:color w:val="auto"/>
              </w:rPr>
            </w:pPr>
            <w:r>
              <w:rPr>
                <w:rFonts w:ascii="Arial" w:cs="Arial" w:eastAsia="Arial" w:hAnsi="Arial"/>
                <w:sz w:val="13"/>
                <w:szCs w:val="13"/>
                <w:b w:val="1"/>
                <w:bCs w:val="1"/>
                <w:color w:val="FFFFFF"/>
                <w:w w:val="96"/>
              </w:rPr>
              <w:t>Table Total</w:t>
            </w:r>
          </w:p>
        </w:tc>
        <w:tc>
          <w:tcPr>
            <w:tcW w:w="100" w:type="dxa"/>
            <w:vAlign w:val="bottom"/>
            <w:shd w:val="clear" w:color="auto" w:fill="123054"/>
          </w:tcPr>
          <w:p>
            <w:pPr>
              <w:spacing w:after="0"/>
              <w:rPr>
                <w:sz w:val="4"/>
                <w:szCs w:val="4"/>
                <w:color w:val="auto"/>
              </w:rPr>
            </w:pPr>
          </w:p>
        </w:tc>
        <w:tc>
          <w:tcPr>
            <w:tcW w:w="200" w:type="dxa"/>
            <w:vAlign w:val="bottom"/>
            <w:tcBorders>
              <w:right w:val="single" w:sz="8" w:color="123054"/>
            </w:tcBorders>
            <w:shd w:val="clear" w:color="auto" w:fill="123054"/>
          </w:tcPr>
          <w:p>
            <w:pPr>
              <w:spacing w:after="0"/>
              <w:rPr>
                <w:sz w:val="4"/>
                <w:szCs w:val="4"/>
                <w:color w:val="auto"/>
              </w:rPr>
            </w:pPr>
          </w:p>
        </w:tc>
        <w:tc>
          <w:tcPr>
            <w:tcW w:w="1080" w:type="dxa"/>
            <w:vAlign w:val="bottom"/>
            <w:tcBorders>
              <w:right w:val="single" w:sz="8" w:color="123054"/>
            </w:tcBorders>
            <w:shd w:val="clear" w:color="auto" w:fill="123054"/>
          </w:tcPr>
          <w:p>
            <w:pPr>
              <w:jc w:val="right"/>
              <w:ind w:right="471"/>
              <w:spacing w:after="0" w:line="54" w:lineRule="exact"/>
              <w:rPr>
                <w:sz w:val="20"/>
                <w:szCs w:val="20"/>
                <w:color w:val="auto"/>
              </w:rPr>
            </w:pPr>
            <w:r>
              <w:rPr>
                <w:rFonts w:ascii="Arial" w:cs="Arial" w:eastAsia="Arial" w:hAnsi="Arial"/>
                <w:sz w:val="6"/>
                <w:szCs w:val="6"/>
                <w:b w:val="1"/>
                <w:bCs w:val="1"/>
                <w:color w:val="FFFFFF"/>
              </w:rPr>
              <w:t>(i)</w:t>
            </w:r>
          </w:p>
        </w:tc>
        <w:tc>
          <w:tcPr>
            <w:tcW w:w="340" w:type="dxa"/>
            <w:vAlign w:val="bottom"/>
            <w:shd w:val="clear" w:color="auto" w:fill="123054"/>
          </w:tcPr>
          <w:p>
            <w:pPr>
              <w:spacing w:after="0"/>
              <w:rPr>
                <w:sz w:val="4"/>
                <w:szCs w:val="4"/>
                <w:color w:val="auto"/>
              </w:rPr>
            </w:pPr>
          </w:p>
        </w:tc>
        <w:tc>
          <w:tcPr>
            <w:tcW w:w="600" w:type="dxa"/>
            <w:vAlign w:val="bottom"/>
            <w:tcBorders>
              <w:right w:val="single" w:sz="8" w:color="123054"/>
            </w:tcBorders>
            <w:shd w:val="clear" w:color="auto" w:fill="123054"/>
          </w:tcPr>
          <w:p>
            <w:pPr>
              <w:spacing w:after="0"/>
              <w:rPr>
                <w:sz w:val="4"/>
                <w:szCs w:val="4"/>
                <w:color w:val="auto"/>
              </w:rPr>
            </w:pPr>
          </w:p>
        </w:tc>
        <w:tc>
          <w:tcPr>
            <w:tcW w:w="580" w:type="dxa"/>
            <w:vAlign w:val="bottom"/>
            <w:tcBorders>
              <w:right w:val="single" w:sz="8" w:color="123054"/>
            </w:tcBorders>
            <w:shd w:val="clear" w:color="auto" w:fill="123054"/>
          </w:tcPr>
          <w:p>
            <w:pPr>
              <w:jc w:val="right"/>
              <w:ind w:right="349"/>
              <w:spacing w:after="0" w:line="54" w:lineRule="exact"/>
              <w:rPr>
                <w:sz w:val="20"/>
                <w:szCs w:val="20"/>
                <w:color w:val="auto"/>
              </w:rPr>
            </w:pPr>
            <w:r>
              <w:rPr>
                <w:rFonts w:ascii="Arial" w:cs="Arial" w:eastAsia="Arial" w:hAnsi="Arial"/>
                <w:sz w:val="6"/>
                <w:szCs w:val="6"/>
                <w:b w:val="1"/>
                <w:bCs w:val="1"/>
                <w:color w:val="FFFFFF"/>
              </w:rPr>
              <w:t>(ii)</w:t>
            </w:r>
          </w:p>
        </w:tc>
        <w:tc>
          <w:tcPr>
            <w:tcW w:w="140" w:type="dxa"/>
            <w:vAlign w:val="bottom"/>
            <w:shd w:val="clear" w:color="auto" w:fill="123054"/>
          </w:tcPr>
          <w:p>
            <w:pPr>
              <w:spacing w:after="0"/>
              <w:rPr>
                <w:sz w:val="4"/>
                <w:szCs w:val="4"/>
                <w:color w:val="auto"/>
              </w:rPr>
            </w:pPr>
          </w:p>
        </w:tc>
        <w:tc>
          <w:tcPr>
            <w:tcW w:w="1020" w:type="dxa"/>
            <w:vAlign w:val="bottom"/>
            <w:gridSpan w:val="2"/>
            <w:vMerge w:val="restart"/>
            <w:shd w:val="clear" w:color="auto" w:fill="123054"/>
          </w:tcPr>
          <w:p>
            <w:pPr>
              <w:jc w:val="right"/>
              <w:ind w:right="160"/>
              <w:spacing w:after="0" w:line="141" w:lineRule="exact"/>
              <w:rPr>
                <w:sz w:val="20"/>
                <w:szCs w:val="20"/>
                <w:color w:val="auto"/>
              </w:rPr>
            </w:pPr>
            <w:r>
              <w:rPr>
                <w:rFonts w:ascii="Arial" w:cs="Arial" w:eastAsia="Arial" w:hAnsi="Arial"/>
                <w:sz w:val="13"/>
                <w:szCs w:val="13"/>
                <w:b w:val="1"/>
                <w:bCs w:val="1"/>
                <w:color w:val="FFFFFF"/>
              </w:rPr>
              <w:t>Actually Paid</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520" w:type="dxa"/>
            <w:vAlign w:val="bottom"/>
            <w:gridSpan w:val="2"/>
            <w:vMerge w:val="continue"/>
            <w:shd w:val="clear" w:color="auto" w:fill="123054"/>
          </w:tcPr>
          <w:p>
            <w:pPr>
              <w:spacing w:after="0"/>
              <w:rPr>
                <w:sz w:val="8"/>
                <w:szCs w:val="8"/>
                <w:color w:val="auto"/>
              </w:rPr>
            </w:pPr>
          </w:p>
        </w:tc>
        <w:tc>
          <w:tcPr>
            <w:tcW w:w="760" w:type="dxa"/>
            <w:vAlign w:val="bottom"/>
            <w:tcBorders>
              <w:right w:val="single" w:sz="8" w:color="123054"/>
            </w:tcBorders>
            <w:shd w:val="clear" w:color="auto" w:fill="123054"/>
          </w:tcPr>
          <w:p>
            <w:pPr>
              <w:spacing w:after="0"/>
              <w:rPr>
                <w:sz w:val="8"/>
                <w:szCs w:val="8"/>
                <w:color w:val="auto"/>
              </w:rPr>
            </w:pPr>
          </w:p>
        </w:tc>
        <w:tc>
          <w:tcPr>
            <w:tcW w:w="1060" w:type="dxa"/>
            <w:vAlign w:val="bottom"/>
            <w:tcBorders>
              <w:right w:val="single" w:sz="8" w:color="123054"/>
            </w:tcBorders>
            <w:shd w:val="clear" w:color="auto" w:fill="123054"/>
          </w:tcPr>
          <w:p>
            <w:pPr>
              <w:spacing w:after="0"/>
              <w:rPr>
                <w:sz w:val="8"/>
                <w:szCs w:val="8"/>
                <w:color w:val="auto"/>
              </w:rPr>
            </w:pPr>
          </w:p>
        </w:tc>
        <w:tc>
          <w:tcPr>
            <w:tcW w:w="680" w:type="dxa"/>
            <w:vAlign w:val="bottom"/>
            <w:tcBorders>
              <w:right w:val="single" w:sz="8" w:color="123054"/>
            </w:tcBorders>
            <w:shd w:val="clear" w:color="auto" w:fill="123054"/>
          </w:tcPr>
          <w:p>
            <w:pPr>
              <w:spacing w:after="0"/>
              <w:rPr>
                <w:sz w:val="8"/>
                <w:szCs w:val="8"/>
                <w:color w:val="auto"/>
              </w:rPr>
            </w:pPr>
          </w:p>
        </w:tc>
        <w:tc>
          <w:tcPr>
            <w:tcW w:w="120" w:type="dxa"/>
            <w:vAlign w:val="bottom"/>
            <w:shd w:val="clear" w:color="auto" w:fill="123054"/>
          </w:tcPr>
          <w:p>
            <w:pPr>
              <w:spacing w:after="0"/>
              <w:rPr>
                <w:sz w:val="8"/>
                <w:szCs w:val="8"/>
                <w:color w:val="auto"/>
              </w:rPr>
            </w:pPr>
          </w:p>
        </w:tc>
        <w:tc>
          <w:tcPr>
            <w:tcW w:w="980" w:type="dxa"/>
            <w:vAlign w:val="bottom"/>
            <w:tcBorders>
              <w:right w:val="single" w:sz="8" w:color="123054"/>
            </w:tcBorders>
            <w:gridSpan w:val="2"/>
            <w:vMerge w:val="continue"/>
            <w:shd w:val="clear" w:color="auto" w:fill="123054"/>
          </w:tcPr>
          <w:p>
            <w:pPr>
              <w:spacing w:after="0"/>
              <w:rPr>
                <w:sz w:val="8"/>
                <w:szCs w:val="8"/>
                <w:color w:val="auto"/>
              </w:rPr>
            </w:pPr>
          </w:p>
        </w:tc>
        <w:tc>
          <w:tcPr>
            <w:tcW w:w="100" w:type="dxa"/>
            <w:vAlign w:val="bottom"/>
            <w:shd w:val="clear" w:color="auto" w:fill="123054"/>
          </w:tcPr>
          <w:p>
            <w:pPr>
              <w:spacing w:after="0"/>
              <w:rPr>
                <w:sz w:val="8"/>
                <w:szCs w:val="8"/>
                <w:color w:val="auto"/>
              </w:rPr>
            </w:pPr>
          </w:p>
        </w:tc>
        <w:tc>
          <w:tcPr>
            <w:tcW w:w="200" w:type="dxa"/>
            <w:vAlign w:val="bottom"/>
            <w:tcBorders>
              <w:right w:val="single" w:sz="8" w:color="123054"/>
            </w:tcBorders>
            <w:shd w:val="clear" w:color="auto" w:fill="123054"/>
          </w:tcPr>
          <w:p>
            <w:pPr>
              <w:spacing w:after="0"/>
              <w:rPr>
                <w:sz w:val="8"/>
                <w:szCs w:val="8"/>
                <w:color w:val="auto"/>
              </w:rPr>
            </w:pPr>
          </w:p>
        </w:tc>
        <w:tc>
          <w:tcPr>
            <w:tcW w:w="1080" w:type="dxa"/>
            <w:vAlign w:val="bottom"/>
            <w:tcBorders>
              <w:right w:val="single" w:sz="8" w:color="123054"/>
            </w:tcBorders>
            <w:shd w:val="clear" w:color="auto" w:fill="123054"/>
          </w:tcPr>
          <w:p>
            <w:pPr>
              <w:jc w:val="right"/>
              <w:ind w:right="551"/>
              <w:spacing w:after="0" w:line="95" w:lineRule="exact"/>
              <w:rPr>
                <w:sz w:val="20"/>
                <w:szCs w:val="20"/>
                <w:color w:val="auto"/>
              </w:rPr>
            </w:pPr>
            <w:r>
              <w:rPr>
                <w:rFonts w:ascii="Arial" w:cs="Arial" w:eastAsia="Arial" w:hAnsi="Arial"/>
                <w:sz w:val="10"/>
                <w:szCs w:val="10"/>
                <w:b w:val="1"/>
                <w:bCs w:val="1"/>
                <w:color w:val="FFFFFF"/>
              </w:rPr>
              <w:t>Total</w:t>
            </w:r>
          </w:p>
        </w:tc>
        <w:tc>
          <w:tcPr>
            <w:tcW w:w="340" w:type="dxa"/>
            <w:vAlign w:val="bottom"/>
            <w:shd w:val="clear" w:color="auto" w:fill="123054"/>
          </w:tcPr>
          <w:p>
            <w:pPr>
              <w:spacing w:after="0"/>
              <w:rPr>
                <w:sz w:val="8"/>
                <w:szCs w:val="8"/>
                <w:color w:val="auto"/>
              </w:rPr>
            </w:pPr>
          </w:p>
        </w:tc>
        <w:tc>
          <w:tcPr>
            <w:tcW w:w="1180" w:type="dxa"/>
            <w:vAlign w:val="bottom"/>
            <w:tcBorders>
              <w:right w:val="single" w:sz="8" w:color="123054"/>
            </w:tcBorders>
            <w:gridSpan w:val="2"/>
            <w:shd w:val="clear" w:color="auto" w:fill="123054"/>
          </w:tcPr>
          <w:p>
            <w:pPr>
              <w:jc w:val="right"/>
              <w:ind w:right="389"/>
              <w:spacing w:after="0" w:line="95" w:lineRule="exact"/>
              <w:rPr>
                <w:sz w:val="20"/>
                <w:szCs w:val="20"/>
                <w:color w:val="auto"/>
              </w:rPr>
            </w:pPr>
            <w:r>
              <w:rPr>
                <w:rFonts w:ascii="Arial" w:cs="Arial" w:eastAsia="Arial" w:hAnsi="Arial"/>
                <w:sz w:val="10"/>
                <w:szCs w:val="10"/>
                <w:b w:val="1"/>
                <w:bCs w:val="1"/>
                <w:color w:val="FFFFFF"/>
              </w:rPr>
              <w:t>Adjustments</w:t>
            </w:r>
          </w:p>
        </w:tc>
        <w:tc>
          <w:tcPr>
            <w:tcW w:w="140" w:type="dxa"/>
            <w:vAlign w:val="bottom"/>
            <w:shd w:val="clear" w:color="auto" w:fill="123054"/>
          </w:tcPr>
          <w:p>
            <w:pPr>
              <w:spacing w:after="0"/>
              <w:rPr>
                <w:sz w:val="8"/>
                <w:szCs w:val="8"/>
                <w:color w:val="auto"/>
              </w:rPr>
            </w:pPr>
          </w:p>
        </w:tc>
        <w:tc>
          <w:tcPr>
            <w:tcW w:w="1020" w:type="dxa"/>
            <w:vAlign w:val="bottom"/>
            <w:gridSpan w:val="2"/>
            <w:vMerge w:val="continue"/>
            <w:shd w:val="clear" w:color="auto" w:fill="123054"/>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2024</w:t>
            </w:r>
          </w:p>
        </w:tc>
        <w:tc>
          <w:tcPr>
            <w:tcW w:w="2500" w:type="dxa"/>
            <w:vAlign w:val="bottom"/>
            <w:tcBorders>
              <w:right w:val="single" w:sz="8" w:color="123054"/>
            </w:tcBorders>
            <w:gridSpan w:val="3"/>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123054"/>
            </w:tcBorders>
            <w:gridSpan w:val="2"/>
          </w:tcPr>
          <w:p>
            <w:pPr>
              <w:jc w:val="right"/>
              <w:ind w:right="160"/>
              <w:spacing w:after="0"/>
              <w:rPr>
                <w:sz w:val="20"/>
                <w:szCs w:val="20"/>
                <w:color w:val="auto"/>
              </w:rPr>
            </w:pPr>
            <w:r>
              <w:rPr>
                <w:rFonts w:ascii="Arial" w:cs="Arial" w:eastAsia="Arial" w:hAnsi="Arial"/>
                <w:sz w:val="13"/>
                <w:szCs w:val="13"/>
                <w:color w:val="auto"/>
              </w:rPr>
              <w:t>9,146,769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right w:val="single" w:sz="8" w:color="123054"/>
            </w:tcBorders>
            <w:gridSpan w:val="2"/>
          </w:tcPr>
          <w:p>
            <w:pPr>
              <w:jc w:val="right"/>
              <w:ind w:right="131"/>
              <w:spacing w:after="0"/>
              <w:rPr>
                <w:sz w:val="20"/>
                <w:szCs w:val="20"/>
                <w:color w:val="auto"/>
              </w:rPr>
            </w:pPr>
            <w:r>
              <w:rPr>
                <w:rFonts w:ascii="Arial" w:cs="Arial" w:eastAsia="Arial" w:hAnsi="Arial"/>
                <w:sz w:val="13"/>
                <w:szCs w:val="13"/>
                <w:color w:val="auto"/>
              </w:rPr>
              <w:t>(6,976,664)</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123054"/>
            </w:tcBorders>
            <w:gridSpan w:val="2"/>
          </w:tcPr>
          <w:p>
            <w:pPr>
              <w:jc w:val="right"/>
              <w:ind w:right="209"/>
              <w:spacing w:after="0"/>
              <w:rPr>
                <w:sz w:val="20"/>
                <w:szCs w:val="20"/>
                <w:color w:val="auto"/>
              </w:rPr>
            </w:pPr>
            <w:r>
              <w:rPr>
                <w:rFonts w:ascii="Arial" w:cs="Arial" w:eastAsia="Arial" w:hAnsi="Arial"/>
                <w:sz w:val="13"/>
                <w:szCs w:val="13"/>
                <w:color w:val="auto"/>
              </w:rPr>
              <w:t>(139,487)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2,030,618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2023</w:t>
            </w:r>
          </w:p>
        </w:tc>
        <w:tc>
          <w:tcPr>
            <w:tcW w:w="760" w:type="dxa"/>
            <w:vAlign w:val="bottom"/>
            <w:tcBorders>
              <w:right w:val="single" w:sz="8" w:color="DBDBDB"/>
            </w:tcBorders>
            <w:shd w:val="clear" w:color="auto" w:fill="DBDBDB"/>
          </w:tcPr>
          <w:p>
            <w:pPr>
              <w:spacing w:after="0"/>
              <w:rPr>
                <w:sz w:val="18"/>
                <w:szCs w:val="18"/>
                <w:color w:val="auto"/>
              </w:rPr>
            </w:pPr>
          </w:p>
        </w:tc>
        <w:tc>
          <w:tcPr>
            <w:tcW w:w="1060" w:type="dxa"/>
            <w:vAlign w:val="bottom"/>
            <w:tcBorders>
              <w:right w:val="single" w:sz="8" w:color="DBDBDB"/>
            </w:tcBorders>
            <w:shd w:val="clear" w:color="auto" w:fill="DBDBDB"/>
          </w:tcPr>
          <w:p>
            <w:pPr>
              <w:spacing w:after="0"/>
              <w:rPr>
                <w:sz w:val="18"/>
                <w:szCs w:val="18"/>
                <w:color w:val="auto"/>
              </w:rPr>
            </w:pPr>
          </w:p>
        </w:tc>
        <w:tc>
          <w:tcPr>
            <w:tcW w:w="680" w:type="dxa"/>
            <w:vAlign w:val="bottom"/>
            <w:tcBorders>
              <w:right w:val="single" w:sz="8" w:color="123054"/>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tcBorders>
              <w:right w:val="single" w:sz="8" w:color="123054"/>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10,088,133</w:t>
            </w:r>
          </w:p>
        </w:tc>
        <w:tc>
          <w:tcPr>
            <w:tcW w:w="100" w:type="dxa"/>
            <w:vAlign w:val="bottom"/>
            <w:shd w:val="clear" w:color="auto" w:fill="DBDBDB"/>
          </w:tcPr>
          <w:p>
            <w:pPr>
              <w:spacing w:after="0"/>
              <w:rPr>
                <w:sz w:val="18"/>
                <w:szCs w:val="18"/>
                <w:color w:val="auto"/>
              </w:rPr>
            </w:pPr>
          </w:p>
        </w:tc>
        <w:tc>
          <w:tcPr>
            <w:tcW w:w="1280" w:type="dxa"/>
            <w:vAlign w:val="bottom"/>
            <w:tcBorders>
              <w:right w:val="single" w:sz="8" w:color="123054"/>
            </w:tcBorders>
            <w:gridSpan w:val="2"/>
            <w:shd w:val="clear" w:color="auto" w:fill="DBDBDB"/>
          </w:tcPr>
          <w:p>
            <w:pPr>
              <w:jc w:val="right"/>
              <w:ind w:right="131"/>
              <w:spacing w:after="0"/>
              <w:rPr>
                <w:sz w:val="20"/>
                <w:szCs w:val="20"/>
                <w:color w:val="auto"/>
              </w:rPr>
            </w:pPr>
            <w:r>
              <w:rPr>
                <w:rFonts w:ascii="Arial" w:cs="Arial" w:eastAsia="Arial" w:hAnsi="Arial"/>
                <w:sz w:val="13"/>
                <w:szCs w:val="13"/>
                <w:color w:val="auto"/>
              </w:rPr>
              <w:t>(6,500,098)</w:t>
            </w:r>
          </w:p>
        </w:tc>
        <w:tc>
          <w:tcPr>
            <w:tcW w:w="340" w:type="dxa"/>
            <w:vAlign w:val="bottom"/>
            <w:shd w:val="clear" w:color="auto" w:fill="DBDBDB"/>
          </w:tcPr>
          <w:p>
            <w:pPr>
              <w:spacing w:after="0"/>
              <w:rPr>
                <w:sz w:val="18"/>
                <w:szCs w:val="18"/>
                <w:color w:val="auto"/>
              </w:rPr>
            </w:pPr>
          </w:p>
        </w:tc>
        <w:tc>
          <w:tcPr>
            <w:tcW w:w="1180" w:type="dxa"/>
            <w:vAlign w:val="bottom"/>
            <w:tcBorders>
              <w:right w:val="single" w:sz="8" w:color="123054"/>
            </w:tcBorders>
            <w:gridSpan w:val="2"/>
            <w:shd w:val="clear" w:color="auto" w:fill="DBDBDB"/>
          </w:tcPr>
          <w:p>
            <w:pPr>
              <w:jc w:val="right"/>
              <w:ind w:right="209"/>
              <w:spacing w:after="0"/>
              <w:rPr>
                <w:sz w:val="20"/>
                <w:szCs w:val="20"/>
                <w:color w:val="auto"/>
              </w:rPr>
            </w:pPr>
            <w:r>
              <w:rPr>
                <w:rFonts w:ascii="Arial" w:cs="Arial" w:eastAsia="Arial" w:hAnsi="Arial"/>
                <w:sz w:val="13"/>
                <w:szCs w:val="13"/>
                <w:color w:val="auto"/>
              </w:rPr>
              <w:t>4,270,840</w:t>
            </w:r>
          </w:p>
        </w:tc>
        <w:tc>
          <w:tcPr>
            <w:tcW w:w="14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220"/>
              <w:spacing w:after="0"/>
              <w:rPr>
                <w:sz w:val="20"/>
                <w:szCs w:val="20"/>
                <w:color w:val="auto"/>
              </w:rPr>
            </w:pPr>
            <w:r>
              <w:rPr>
                <w:rFonts w:ascii="Arial" w:cs="Arial" w:eastAsia="Arial" w:hAnsi="Arial"/>
                <w:sz w:val="13"/>
                <w:szCs w:val="13"/>
                <w:color w:val="auto"/>
              </w:rPr>
              <w:t>7,858,875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2022</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Borders>
              <w:right w:val="single" w:sz="8" w:color="123054"/>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123054"/>
            </w:tcBorders>
            <w:gridSpan w:val="2"/>
          </w:tcPr>
          <w:p>
            <w:pPr>
              <w:jc w:val="right"/>
              <w:ind w:right="160"/>
              <w:spacing w:after="0"/>
              <w:rPr>
                <w:sz w:val="20"/>
                <w:szCs w:val="20"/>
                <w:color w:val="auto"/>
              </w:rPr>
            </w:pPr>
            <w:r>
              <w:rPr>
                <w:rFonts w:ascii="Arial" w:cs="Arial" w:eastAsia="Arial" w:hAnsi="Arial"/>
                <w:sz w:val="13"/>
                <w:szCs w:val="13"/>
                <w:color w:val="auto"/>
              </w:rPr>
              <w:t>8,606,754</w:t>
            </w:r>
          </w:p>
        </w:tc>
        <w:tc>
          <w:tcPr>
            <w:tcW w:w="100" w:type="dxa"/>
            <w:vAlign w:val="bottom"/>
          </w:tcPr>
          <w:p>
            <w:pPr>
              <w:spacing w:after="0"/>
              <w:rPr>
                <w:sz w:val="15"/>
                <w:szCs w:val="15"/>
                <w:color w:val="auto"/>
              </w:rPr>
            </w:pPr>
          </w:p>
        </w:tc>
        <w:tc>
          <w:tcPr>
            <w:tcW w:w="1280" w:type="dxa"/>
            <w:vAlign w:val="bottom"/>
            <w:tcBorders>
              <w:right w:val="single" w:sz="8" w:color="123054"/>
            </w:tcBorders>
            <w:gridSpan w:val="2"/>
          </w:tcPr>
          <w:p>
            <w:pPr>
              <w:jc w:val="right"/>
              <w:ind w:right="131"/>
              <w:spacing w:after="0"/>
              <w:rPr>
                <w:sz w:val="20"/>
                <w:szCs w:val="20"/>
                <w:color w:val="auto"/>
              </w:rPr>
            </w:pPr>
            <w:r>
              <w:rPr>
                <w:rFonts w:ascii="Arial" w:cs="Arial" w:eastAsia="Arial" w:hAnsi="Arial"/>
                <w:sz w:val="13"/>
                <w:szCs w:val="13"/>
                <w:color w:val="auto"/>
              </w:rPr>
              <w:t>(6,500,136)</w:t>
            </w:r>
          </w:p>
        </w:tc>
        <w:tc>
          <w:tcPr>
            <w:tcW w:w="340" w:type="dxa"/>
            <w:vAlign w:val="bottom"/>
          </w:tcPr>
          <w:p>
            <w:pPr>
              <w:spacing w:after="0"/>
              <w:rPr>
                <w:sz w:val="15"/>
                <w:szCs w:val="15"/>
                <w:color w:val="auto"/>
              </w:rPr>
            </w:pPr>
          </w:p>
        </w:tc>
        <w:tc>
          <w:tcPr>
            <w:tcW w:w="1180" w:type="dxa"/>
            <w:vAlign w:val="bottom"/>
            <w:tcBorders>
              <w:right w:val="single" w:sz="8" w:color="123054"/>
            </w:tcBorders>
            <w:gridSpan w:val="2"/>
          </w:tcPr>
          <w:p>
            <w:pPr>
              <w:jc w:val="right"/>
              <w:ind w:right="209"/>
              <w:spacing w:after="0"/>
              <w:rPr>
                <w:sz w:val="20"/>
                <w:szCs w:val="20"/>
                <w:color w:val="auto"/>
              </w:rPr>
            </w:pPr>
            <w:r>
              <w:rPr>
                <w:rFonts w:ascii="Arial" w:cs="Arial" w:eastAsia="Arial" w:hAnsi="Arial"/>
                <w:sz w:val="13"/>
                <w:szCs w:val="13"/>
                <w:color w:val="auto"/>
              </w:rPr>
              <w:t>2,653,947</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4,760,564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2021</w:t>
            </w:r>
          </w:p>
        </w:tc>
        <w:tc>
          <w:tcPr>
            <w:tcW w:w="760" w:type="dxa"/>
            <w:vAlign w:val="bottom"/>
            <w:tcBorders>
              <w:right w:val="single" w:sz="8" w:color="DBDBDB"/>
            </w:tcBorders>
            <w:shd w:val="clear" w:color="auto" w:fill="DBDBDB"/>
          </w:tcPr>
          <w:p>
            <w:pPr>
              <w:spacing w:after="0"/>
              <w:rPr>
                <w:sz w:val="17"/>
                <w:szCs w:val="17"/>
                <w:color w:val="auto"/>
              </w:rPr>
            </w:pPr>
          </w:p>
        </w:tc>
        <w:tc>
          <w:tcPr>
            <w:tcW w:w="1060" w:type="dxa"/>
            <w:vAlign w:val="bottom"/>
            <w:tcBorders>
              <w:right w:val="single" w:sz="8" w:color="DBDBDB"/>
            </w:tcBorders>
            <w:shd w:val="clear" w:color="auto" w:fill="DBDBDB"/>
          </w:tcPr>
          <w:p>
            <w:pPr>
              <w:spacing w:after="0"/>
              <w:rPr>
                <w:sz w:val="17"/>
                <w:szCs w:val="17"/>
                <w:color w:val="auto"/>
              </w:rPr>
            </w:pPr>
          </w:p>
        </w:tc>
        <w:tc>
          <w:tcPr>
            <w:tcW w:w="680" w:type="dxa"/>
            <w:vAlign w:val="bottom"/>
            <w:tcBorders>
              <w:right w:val="single" w:sz="8" w:color="123054"/>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80" w:type="dxa"/>
            <w:vAlign w:val="bottom"/>
            <w:tcBorders>
              <w:right w:val="single" w:sz="8" w:color="123054"/>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11,056,385</w:t>
            </w:r>
          </w:p>
        </w:tc>
        <w:tc>
          <w:tcPr>
            <w:tcW w:w="100" w:type="dxa"/>
            <w:vAlign w:val="bottom"/>
            <w:shd w:val="clear" w:color="auto" w:fill="DBDBDB"/>
          </w:tcPr>
          <w:p>
            <w:pPr>
              <w:spacing w:after="0"/>
              <w:rPr>
                <w:sz w:val="17"/>
                <w:szCs w:val="17"/>
                <w:color w:val="auto"/>
              </w:rPr>
            </w:pPr>
          </w:p>
        </w:tc>
        <w:tc>
          <w:tcPr>
            <w:tcW w:w="1280" w:type="dxa"/>
            <w:vAlign w:val="bottom"/>
            <w:tcBorders>
              <w:right w:val="single" w:sz="8" w:color="123054"/>
            </w:tcBorders>
            <w:gridSpan w:val="2"/>
            <w:shd w:val="clear" w:color="auto" w:fill="DBDBDB"/>
          </w:tcPr>
          <w:p>
            <w:pPr>
              <w:jc w:val="right"/>
              <w:ind w:right="131"/>
              <w:spacing w:after="0"/>
              <w:rPr>
                <w:sz w:val="20"/>
                <w:szCs w:val="20"/>
                <w:color w:val="auto"/>
              </w:rPr>
            </w:pPr>
            <w:r>
              <w:rPr>
                <w:rFonts w:ascii="Arial" w:cs="Arial" w:eastAsia="Arial" w:hAnsi="Arial"/>
                <w:sz w:val="13"/>
                <w:szCs w:val="13"/>
                <w:color w:val="auto"/>
              </w:rPr>
              <w:t>(6,500,323)</w:t>
            </w:r>
          </w:p>
        </w:tc>
        <w:tc>
          <w:tcPr>
            <w:tcW w:w="340" w:type="dxa"/>
            <w:vAlign w:val="bottom"/>
            <w:shd w:val="clear" w:color="auto" w:fill="DBDBDB"/>
          </w:tcPr>
          <w:p>
            <w:pPr>
              <w:spacing w:after="0"/>
              <w:rPr>
                <w:sz w:val="17"/>
                <w:szCs w:val="17"/>
                <w:color w:val="auto"/>
              </w:rPr>
            </w:pPr>
          </w:p>
        </w:tc>
        <w:tc>
          <w:tcPr>
            <w:tcW w:w="1180" w:type="dxa"/>
            <w:vAlign w:val="bottom"/>
            <w:tcBorders>
              <w:right w:val="single" w:sz="8" w:color="123054"/>
            </w:tcBorders>
            <w:gridSpan w:val="2"/>
            <w:shd w:val="clear" w:color="auto" w:fill="DBDBDB"/>
          </w:tcPr>
          <w:p>
            <w:pPr>
              <w:jc w:val="right"/>
              <w:ind w:right="169"/>
              <w:spacing w:after="0"/>
              <w:rPr>
                <w:sz w:val="20"/>
                <w:szCs w:val="20"/>
                <w:color w:val="auto"/>
              </w:rPr>
            </w:pPr>
            <w:r>
              <w:rPr>
                <w:rFonts w:ascii="Arial" w:cs="Arial" w:eastAsia="Arial" w:hAnsi="Arial"/>
                <w:sz w:val="13"/>
                <w:szCs w:val="13"/>
                <w:color w:val="auto"/>
              </w:rPr>
              <w:t>9,375,057</w:t>
            </w:r>
          </w:p>
        </w:tc>
        <w:tc>
          <w:tcPr>
            <w:tcW w:w="14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13,931,119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Borders>
              <w:bottom w:val="single" w:sz="8" w:color="123054"/>
            </w:tcBorders>
            <w:gridSpan w:val="2"/>
          </w:tcPr>
          <w:p>
            <w:pPr>
              <w:jc w:val="right"/>
              <w:ind w:right="120"/>
              <w:spacing w:after="0"/>
              <w:rPr>
                <w:sz w:val="20"/>
                <w:szCs w:val="20"/>
                <w:color w:val="auto"/>
              </w:rPr>
            </w:pPr>
            <w:r>
              <w:rPr>
                <w:rFonts w:ascii="Arial" w:cs="Arial" w:eastAsia="Arial" w:hAnsi="Arial"/>
                <w:sz w:val="13"/>
                <w:szCs w:val="13"/>
                <w:color w:val="auto"/>
              </w:rPr>
              <w:t>2020</w:t>
            </w:r>
          </w:p>
        </w:tc>
        <w:tc>
          <w:tcPr>
            <w:tcW w:w="760" w:type="dxa"/>
            <w:vAlign w:val="bottom"/>
            <w:tcBorders>
              <w:bottom w:val="single" w:sz="8" w:color="123054"/>
            </w:tcBorders>
          </w:tcPr>
          <w:p>
            <w:pPr>
              <w:spacing w:after="0"/>
              <w:rPr>
                <w:sz w:val="17"/>
                <w:szCs w:val="17"/>
                <w:color w:val="auto"/>
              </w:rPr>
            </w:pPr>
          </w:p>
        </w:tc>
        <w:tc>
          <w:tcPr>
            <w:tcW w:w="1060" w:type="dxa"/>
            <w:vAlign w:val="bottom"/>
            <w:tcBorders>
              <w:bottom w:val="single" w:sz="8" w:color="123054"/>
            </w:tcBorders>
          </w:tcPr>
          <w:p>
            <w:pPr>
              <w:spacing w:after="0"/>
              <w:rPr>
                <w:sz w:val="17"/>
                <w:szCs w:val="17"/>
                <w:color w:val="auto"/>
              </w:rPr>
            </w:pPr>
          </w:p>
        </w:tc>
        <w:tc>
          <w:tcPr>
            <w:tcW w:w="680" w:type="dxa"/>
            <w:vAlign w:val="bottom"/>
            <w:tcBorders>
              <w:bottom w:val="single" w:sz="8" w:color="123054"/>
              <w:right w:val="single" w:sz="8" w:color="123054"/>
            </w:tcBorders>
          </w:tcPr>
          <w:p>
            <w:pPr>
              <w:spacing w:after="0"/>
              <w:rPr>
                <w:sz w:val="17"/>
                <w:szCs w:val="17"/>
                <w:color w:val="auto"/>
              </w:rPr>
            </w:pPr>
          </w:p>
        </w:tc>
        <w:tc>
          <w:tcPr>
            <w:tcW w:w="120" w:type="dxa"/>
            <w:vAlign w:val="bottom"/>
            <w:tcBorders>
              <w:bottom w:val="single" w:sz="8" w:color="123054"/>
            </w:tcBorders>
          </w:tcPr>
          <w:p>
            <w:pPr>
              <w:spacing w:after="0"/>
              <w:rPr>
                <w:sz w:val="17"/>
                <w:szCs w:val="17"/>
                <w:color w:val="auto"/>
              </w:rPr>
            </w:pPr>
          </w:p>
        </w:tc>
        <w:tc>
          <w:tcPr>
            <w:tcW w:w="980" w:type="dxa"/>
            <w:vAlign w:val="bottom"/>
            <w:tcBorders>
              <w:bottom w:val="single" w:sz="8" w:color="123054"/>
              <w:right w:val="single" w:sz="8" w:color="123054"/>
            </w:tcBorders>
            <w:gridSpan w:val="2"/>
          </w:tcPr>
          <w:p>
            <w:pPr>
              <w:jc w:val="right"/>
              <w:ind w:right="160"/>
              <w:spacing w:after="0"/>
              <w:rPr>
                <w:sz w:val="20"/>
                <w:szCs w:val="20"/>
                <w:color w:val="auto"/>
              </w:rPr>
            </w:pPr>
            <w:r>
              <w:rPr>
                <w:rFonts w:ascii="Arial" w:cs="Arial" w:eastAsia="Arial" w:hAnsi="Arial"/>
                <w:sz w:val="13"/>
                <w:szCs w:val="13"/>
                <w:color w:val="auto"/>
              </w:rPr>
              <w:t>7,297,118</w:t>
            </w:r>
          </w:p>
        </w:tc>
        <w:tc>
          <w:tcPr>
            <w:tcW w:w="100" w:type="dxa"/>
            <w:vAlign w:val="bottom"/>
            <w:tcBorders>
              <w:bottom w:val="single" w:sz="8" w:color="123054"/>
            </w:tcBorders>
          </w:tcPr>
          <w:p>
            <w:pPr>
              <w:spacing w:after="0"/>
              <w:rPr>
                <w:sz w:val="17"/>
                <w:szCs w:val="17"/>
                <w:color w:val="auto"/>
              </w:rPr>
            </w:pPr>
          </w:p>
        </w:tc>
        <w:tc>
          <w:tcPr>
            <w:tcW w:w="1280" w:type="dxa"/>
            <w:vAlign w:val="bottom"/>
            <w:tcBorders>
              <w:bottom w:val="single" w:sz="8" w:color="123054"/>
              <w:right w:val="single" w:sz="8" w:color="123054"/>
            </w:tcBorders>
            <w:gridSpan w:val="2"/>
          </w:tcPr>
          <w:p>
            <w:pPr>
              <w:jc w:val="right"/>
              <w:ind w:right="131"/>
              <w:spacing w:after="0"/>
              <w:rPr>
                <w:sz w:val="20"/>
                <w:szCs w:val="20"/>
                <w:color w:val="auto"/>
              </w:rPr>
            </w:pPr>
            <w:r>
              <w:rPr>
                <w:rFonts w:ascii="Arial" w:cs="Arial" w:eastAsia="Arial" w:hAnsi="Arial"/>
                <w:sz w:val="13"/>
                <w:szCs w:val="13"/>
                <w:color w:val="auto"/>
              </w:rPr>
              <w:t>(6,000,392)</w:t>
            </w:r>
          </w:p>
        </w:tc>
        <w:tc>
          <w:tcPr>
            <w:tcW w:w="340" w:type="dxa"/>
            <w:vAlign w:val="bottom"/>
            <w:tcBorders>
              <w:bottom w:val="single" w:sz="8" w:color="123054"/>
            </w:tcBorders>
          </w:tcPr>
          <w:p>
            <w:pPr>
              <w:spacing w:after="0"/>
              <w:rPr>
                <w:sz w:val="17"/>
                <w:szCs w:val="17"/>
                <w:color w:val="auto"/>
              </w:rPr>
            </w:pPr>
          </w:p>
        </w:tc>
        <w:tc>
          <w:tcPr>
            <w:tcW w:w="1180" w:type="dxa"/>
            <w:vAlign w:val="bottom"/>
            <w:tcBorders>
              <w:bottom w:val="single" w:sz="8" w:color="123054"/>
              <w:right w:val="single" w:sz="8" w:color="123054"/>
            </w:tcBorders>
            <w:gridSpan w:val="2"/>
          </w:tcPr>
          <w:p>
            <w:pPr>
              <w:jc w:val="right"/>
              <w:ind w:right="169"/>
              <w:spacing w:after="0"/>
              <w:rPr>
                <w:sz w:val="20"/>
                <w:szCs w:val="20"/>
                <w:color w:val="auto"/>
              </w:rPr>
            </w:pPr>
            <w:r>
              <w:rPr>
                <w:rFonts w:ascii="Arial" w:cs="Arial" w:eastAsia="Arial" w:hAnsi="Arial"/>
                <w:sz w:val="13"/>
                <w:szCs w:val="13"/>
                <w:color w:val="auto"/>
              </w:rPr>
              <w:t>(1,482,230)</w:t>
            </w:r>
          </w:p>
        </w:tc>
        <w:tc>
          <w:tcPr>
            <w:tcW w:w="140" w:type="dxa"/>
            <w:vAlign w:val="bottom"/>
            <w:tcBorders>
              <w:bottom w:val="single" w:sz="8" w:color="123054"/>
            </w:tcBorders>
          </w:tcPr>
          <w:p>
            <w:pPr>
              <w:spacing w:after="0"/>
              <w:rPr>
                <w:sz w:val="17"/>
                <w:szCs w:val="17"/>
                <w:color w:val="auto"/>
              </w:rPr>
            </w:pPr>
          </w:p>
        </w:tc>
        <w:tc>
          <w:tcPr>
            <w:tcW w:w="1020" w:type="dxa"/>
            <w:vAlign w:val="bottom"/>
            <w:tcBorders>
              <w:bottom w:val="single" w:sz="8" w:color="123054"/>
            </w:tcBorders>
            <w:gridSpan w:val="2"/>
          </w:tcPr>
          <w:p>
            <w:pPr>
              <w:jc w:val="right"/>
              <w:ind w:right="180"/>
              <w:spacing w:after="0"/>
              <w:rPr>
                <w:sz w:val="20"/>
                <w:szCs w:val="20"/>
                <w:color w:val="auto"/>
              </w:rPr>
            </w:pPr>
            <w:r>
              <w:rPr>
                <w:rFonts w:ascii="Arial" w:cs="Arial" w:eastAsia="Arial" w:hAnsi="Arial"/>
                <w:sz w:val="13"/>
                <w:szCs w:val="13"/>
                <w:color w:val="auto"/>
              </w:rPr>
              <w:t>(185,504)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right="220" w:hanging="298"/>
        <w:spacing w:after="0" w:line="204" w:lineRule="auto"/>
        <w:tabs>
          <w:tab w:leader="none" w:pos="9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the grant date fair value of equity-based awards granted each year, as shown in the Stock Awards column of the Summary Compensation Table.</w:t>
      </w:r>
    </w:p>
    <w:p>
      <w:pPr>
        <w:ind w:left="920" w:right="320" w:hanging="298"/>
        <w:spacing w:after="0" w:line="231" w:lineRule="auto"/>
        <w:tabs>
          <w:tab w:leader="none" w:pos="9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Reflects the value of equity-based awards calculated in accordance with the SEC methodology for determining Compensation Actually Paid for each year shown under generally accepted accounting principles. The fair value of our performance-based restricted stock is calculated based on the probable outcome of the performance conditions determined as of the last day of the fiscal year and our closing stock price on such day. The determination of equity award adjustments to Summary Compensation Table total compensation is detailed in the supplemental table below.</w:t>
      </w:r>
    </w:p>
    <w:p>
      <w:pPr>
        <w:spacing w:after="0" w:line="339"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920" w:type="dxa"/>
            <w:vAlign w:val="bottom"/>
            <w:tcBorders>
              <w:right w:val="single" w:sz="8" w:color="123054"/>
            </w:tcBorders>
            <w:shd w:val="clear" w:color="auto" w:fill="123054"/>
          </w:tcPr>
          <w:p>
            <w:pPr>
              <w:spacing w:after="0"/>
              <w:rPr>
                <w:sz w:val="16"/>
                <w:szCs w:val="16"/>
                <w:color w:val="auto"/>
              </w:rPr>
            </w:pPr>
          </w:p>
        </w:tc>
        <w:tc>
          <w:tcPr>
            <w:tcW w:w="1000" w:type="dxa"/>
            <w:vAlign w:val="bottom"/>
            <w:shd w:val="clear" w:color="auto" w:fill="123054"/>
          </w:tcPr>
          <w:p>
            <w:pPr>
              <w:spacing w:after="0"/>
              <w:rPr>
                <w:sz w:val="16"/>
                <w:szCs w:val="16"/>
                <w:color w:val="auto"/>
              </w:rPr>
            </w:pPr>
          </w:p>
        </w:tc>
        <w:tc>
          <w:tcPr>
            <w:tcW w:w="4120" w:type="dxa"/>
            <w:vAlign w:val="bottom"/>
            <w:tcBorders>
              <w:right w:val="single" w:sz="8" w:color="123054"/>
            </w:tcBorders>
            <w:gridSpan w:val="6"/>
            <w:shd w:val="clear" w:color="auto" w:fill="123054"/>
          </w:tcPr>
          <w:p>
            <w:pPr>
              <w:ind w:left="40"/>
              <w:spacing w:after="0"/>
              <w:rPr>
                <w:sz w:val="20"/>
                <w:szCs w:val="20"/>
                <w:color w:val="auto"/>
              </w:rPr>
            </w:pPr>
            <w:r>
              <w:rPr>
                <w:rFonts w:ascii="Arial" w:cs="Arial" w:eastAsia="Arial" w:hAnsi="Arial"/>
                <w:sz w:val="13"/>
                <w:szCs w:val="13"/>
                <w:b w:val="1"/>
                <w:bCs w:val="1"/>
                <w:color w:val="FFFFFF"/>
              </w:rPr>
              <w:t>PEO Equity Component of Compensation Actually Paid</w:t>
            </w:r>
          </w:p>
        </w:tc>
        <w:tc>
          <w:tcPr>
            <w:tcW w:w="1000" w:type="dxa"/>
            <w:vAlign w:val="bottom"/>
            <w:tcBorders>
              <w:right w:val="single" w:sz="8" w:color="123054"/>
            </w:tcBorders>
            <w:shd w:val="clear" w:color="auto" w:fill="123054"/>
          </w:tcPr>
          <w:p>
            <w:pPr>
              <w:spacing w:after="0"/>
              <w:rPr>
                <w:sz w:val="16"/>
                <w:szCs w:val="16"/>
                <w:color w:val="auto"/>
              </w:rPr>
            </w:pPr>
          </w:p>
        </w:tc>
        <w:tc>
          <w:tcPr>
            <w:tcW w:w="1160" w:type="dxa"/>
            <w:vAlign w:val="bottom"/>
            <w:shd w:val="clear" w:color="auto" w:fill="123054"/>
          </w:tcPr>
          <w:p>
            <w:pPr>
              <w:spacing w:after="0"/>
              <w:rPr>
                <w:sz w:val="16"/>
                <w:szCs w:val="16"/>
                <w:color w:val="auto"/>
              </w:rPr>
            </w:pPr>
          </w:p>
        </w:tc>
      </w:tr>
      <w:tr>
        <w:trPr>
          <w:trHeight w:val="276"/>
        </w:trPr>
        <w:tc>
          <w:tcPr>
            <w:tcW w:w="920" w:type="dxa"/>
            <w:vAlign w:val="bottom"/>
            <w:tcBorders>
              <w:right w:val="single" w:sz="8" w:color="123054"/>
            </w:tcBorders>
            <w:shd w:val="clear" w:color="auto" w:fill="123054"/>
          </w:tcPr>
          <w:p>
            <w:pPr>
              <w:spacing w:after="0"/>
              <w:rPr>
                <w:sz w:val="24"/>
                <w:szCs w:val="24"/>
                <w:color w:val="auto"/>
              </w:rPr>
            </w:pPr>
          </w:p>
        </w:tc>
        <w:tc>
          <w:tcPr>
            <w:tcW w:w="1000" w:type="dxa"/>
            <w:vAlign w:val="bottom"/>
            <w:shd w:val="clear" w:color="auto" w:fill="123054"/>
          </w:tcPr>
          <w:p>
            <w:pPr>
              <w:jc w:val="center"/>
              <w:ind w:left="117"/>
              <w:spacing w:after="0"/>
              <w:rPr>
                <w:sz w:val="20"/>
                <w:szCs w:val="20"/>
                <w:color w:val="auto"/>
              </w:rPr>
            </w:pPr>
            <w:r>
              <w:rPr>
                <w:rFonts w:ascii="Arial" w:cs="Arial" w:eastAsia="Arial" w:hAnsi="Arial"/>
                <w:sz w:val="13"/>
                <w:szCs w:val="13"/>
                <w:color w:val="FFFFFF"/>
                <w:w w:val="94"/>
              </w:rPr>
              <w:t>Fair Value of</w:t>
            </w:r>
          </w:p>
        </w:tc>
        <w:tc>
          <w:tcPr>
            <w:tcW w:w="120" w:type="dxa"/>
            <w:vAlign w:val="bottom"/>
            <w:tcBorders>
              <w:right w:val="single" w:sz="8" w:color="123054"/>
            </w:tcBorders>
            <w:shd w:val="clear" w:color="auto" w:fill="123054"/>
          </w:tcPr>
          <w:p>
            <w:pPr>
              <w:spacing w:after="0"/>
              <w:rPr>
                <w:sz w:val="24"/>
                <w:szCs w:val="24"/>
                <w:color w:val="auto"/>
              </w:rPr>
            </w:pPr>
          </w:p>
        </w:tc>
        <w:tc>
          <w:tcPr>
            <w:tcW w:w="940" w:type="dxa"/>
            <w:vAlign w:val="bottom"/>
            <w:tcBorders>
              <w:right w:val="single" w:sz="8" w:color="123054"/>
            </w:tcBorders>
            <w:shd w:val="clear" w:color="auto" w:fill="123054"/>
          </w:tcPr>
          <w:p>
            <w:pPr>
              <w:spacing w:after="0"/>
              <w:rPr>
                <w:sz w:val="24"/>
                <w:szCs w:val="24"/>
                <w:color w:val="auto"/>
              </w:rPr>
            </w:pPr>
          </w:p>
        </w:tc>
        <w:tc>
          <w:tcPr>
            <w:tcW w:w="60" w:type="dxa"/>
            <w:vAlign w:val="bottom"/>
            <w:shd w:val="clear" w:color="auto" w:fill="123054"/>
          </w:tcPr>
          <w:p>
            <w:pPr>
              <w:spacing w:after="0"/>
              <w:rPr>
                <w:sz w:val="24"/>
                <w:szCs w:val="24"/>
                <w:color w:val="auto"/>
              </w:rPr>
            </w:pPr>
          </w:p>
        </w:tc>
        <w:tc>
          <w:tcPr>
            <w:tcW w:w="940" w:type="dxa"/>
            <w:vAlign w:val="bottom"/>
            <w:tcBorders>
              <w:right w:val="single" w:sz="8" w:color="123054"/>
            </w:tcBorders>
            <w:shd w:val="clear" w:color="auto" w:fill="123054"/>
          </w:tcPr>
          <w:p>
            <w:pPr>
              <w:spacing w:after="0"/>
              <w:rPr>
                <w:sz w:val="24"/>
                <w:szCs w:val="24"/>
                <w:color w:val="auto"/>
              </w:rPr>
            </w:pPr>
          </w:p>
        </w:tc>
        <w:tc>
          <w:tcPr>
            <w:tcW w:w="1000" w:type="dxa"/>
            <w:vAlign w:val="bottom"/>
            <w:tcBorders>
              <w:right w:val="single" w:sz="8" w:color="123054"/>
            </w:tcBorders>
            <w:shd w:val="clear" w:color="auto" w:fill="123054"/>
          </w:tcPr>
          <w:p>
            <w:pPr>
              <w:spacing w:after="0"/>
              <w:rPr>
                <w:sz w:val="24"/>
                <w:szCs w:val="24"/>
                <w:color w:val="auto"/>
              </w:rPr>
            </w:pPr>
          </w:p>
        </w:tc>
        <w:tc>
          <w:tcPr>
            <w:tcW w:w="1060" w:type="dxa"/>
            <w:vAlign w:val="bottom"/>
            <w:tcBorders>
              <w:right w:val="single" w:sz="8" w:color="123054"/>
            </w:tcBorders>
            <w:shd w:val="clear" w:color="auto" w:fill="123054"/>
          </w:tcPr>
          <w:p>
            <w:pPr>
              <w:spacing w:after="0"/>
              <w:rPr>
                <w:sz w:val="24"/>
                <w:szCs w:val="24"/>
                <w:color w:val="auto"/>
              </w:rPr>
            </w:pPr>
          </w:p>
        </w:tc>
        <w:tc>
          <w:tcPr>
            <w:tcW w:w="1000" w:type="dxa"/>
            <w:vAlign w:val="bottom"/>
            <w:tcBorders>
              <w:right w:val="single" w:sz="8" w:color="123054"/>
            </w:tcBorders>
            <w:shd w:val="clear" w:color="auto" w:fill="123054"/>
          </w:tcPr>
          <w:p>
            <w:pPr>
              <w:spacing w:after="0"/>
              <w:rPr>
                <w:sz w:val="24"/>
                <w:szCs w:val="24"/>
                <w:color w:val="auto"/>
              </w:rPr>
            </w:pPr>
          </w:p>
        </w:tc>
        <w:tc>
          <w:tcPr>
            <w:tcW w:w="1160" w:type="dxa"/>
            <w:vAlign w:val="bottom"/>
            <w:shd w:val="clear" w:color="auto" w:fill="123054"/>
          </w:tcPr>
          <w:p>
            <w:pPr>
              <w:spacing w:after="0"/>
              <w:rPr>
                <w:sz w:val="24"/>
                <w:szCs w:val="24"/>
                <w:color w:val="auto"/>
              </w:rPr>
            </w:pP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57"/>
              <w:spacing w:after="0"/>
              <w:rPr>
                <w:sz w:val="20"/>
                <w:szCs w:val="20"/>
                <w:color w:val="auto"/>
              </w:rPr>
            </w:pPr>
            <w:r>
              <w:rPr>
                <w:rFonts w:ascii="Arial" w:cs="Arial" w:eastAsia="Arial" w:hAnsi="Arial"/>
                <w:sz w:val="13"/>
                <w:szCs w:val="13"/>
                <w:color w:val="FFFFFF"/>
                <w:w w:val="99"/>
              </w:rPr>
              <w:t>Equity</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spacing w:after="0"/>
              <w:rPr>
                <w:sz w:val="20"/>
                <w:szCs w:val="20"/>
                <w:color w:val="auto"/>
              </w:rPr>
            </w:pPr>
            <w:r>
              <w:rPr>
                <w:rFonts w:ascii="Arial" w:cs="Arial" w:eastAsia="Arial" w:hAnsi="Arial"/>
                <w:sz w:val="13"/>
                <w:szCs w:val="13"/>
                <w:color w:val="FFFFFF"/>
                <w:w w:val="93"/>
              </w:rPr>
              <w:t>Year over Year</w:t>
            </w:r>
          </w:p>
        </w:tc>
        <w:tc>
          <w:tcPr>
            <w:tcW w:w="94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spacing w:after="0"/>
              <w:rPr>
                <w:sz w:val="12"/>
                <w:szCs w:val="12"/>
                <w:color w:val="auto"/>
              </w:rPr>
            </w:pPr>
          </w:p>
        </w:tc>
        <w:tc>
          <w:tcPr>
            <w:tcW w:w="106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Value of</w:t>
            </w:r>
          </w:p>
        </w:tc>
        <w:tc>
          <w:tcPr>
            <w:tcW w:w="1160" w:type="dxa"/>
            <w:vAlign w:val="bottom"/>
            <w:shd w:val="clear" w:color="auto" w:fill="123054"/>
          </w:tcPr>
          <w:p>
            <w:pPr>
              <w:spacing w:after="0"/>
              <w:rPr>
                <w:sz w:val="12"/>
                <w:szCs w:val="12"/>
                <w:color w:val="auto"/>
              </w:rPr>
            </w:pP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77"/>
              <w:spacing w:after="0"/>
              <w:rPr>
                <w:sz w:val="20"/>
                <w:szCs w:val="20"/>
                <w:color w:val="auto"/>
              </w:rPr>
            </w:pPr>
            <w:r>
              <w:rPr>
                <w:rFonts w:ascii="Arial" w:cs="Arial" w:eastAsia="Arial" w:hAnsi="Arial"/>
                <w:sz w:val="13"/>
                <w:szCs w:val="13"/>
                <w:color w:val="FFFFFF"/>
                <w:w w:val="96"/>
              </w:rPr>
              <w:t>Awards</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spacing w:after="0"/>
              <w:rPr>
                <w:sz w:val="20"/>
                <w:szCs w:val="20"/>
                <w:color w:val="auto"/>
              </w:rPr>
            </w:pPr>
            <w:r>
              <w:rPr>
                <w:rFonts w:ascii="Arial" w:cs="Arial" w:eastAsia="Arial" w:hAnsi="Arial"/>
                <w:sz w:val="13"/>
                <w:szCs w:val="13"/>
                <w:color w:val="FFFFFF"/>
                <w:w w:val="98"/>
              </w:rPr>
              <w:t>Change in Fair</w:t>
            </w:r>
          </w:p>
        </w:tc>
        <w:tc>
          <w:tcPr>
            <w:tcW w:w="94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ind w:left="120"/>
              <w:spacing w:after="0"/>
              <w:rPr>
                <w:sz w:val="20"/>
                <w:szCs w:val="20"/>
                <w:color w:val="auto"/>
              </w:rPr>
            </w:pPr>
            <w:r>
              <w:rPr>
                <w:rFonts w:ascii="Arial" w:cs="Arial" w:eastAsia="Arial" w:hAnsi="Arial"/>
                <w:sz w:val="13"/>
                <w:szCs w:val="13"/>
                <w:color w:val="FFFFFF"/>
                <w:w w:val="96"/>
              </w:rPr>
              <w:t>Year over Year</w:t>
            </w:r>
          </w:p>
        </w:tc>
        <w:tc>
          <w:tcPr>
            <w:tcW w:w="106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Dividends or</w:t>
            </w:r>
          </w:p>
        </w:tc>
        <w:tc>
          <w:tcPr>
            <w:tcW w:w="1160" w:type="dxa"/>
            <w:vAlign w:val="bottom"/>
            <w:shd w:val="clear" w:color="auto" w:fill="123054"/>
          </w:tcPr>
          <w:p>
            <w:pPr>
              <w:spacing w:after="0"/>
              <w:rPr>
                <w:sz w:val="12"/>
                <w:szCs w:val="12"/>
                <w:color w:val="auto"/>
              </w:rPr>
            </w:pP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77"/>
              <w:spacing w:after="0"/>
              <w:rPr>
                <w:sz w:val="20"/>
                <w:szCs w:val="20"/>
                <w:color w:val="auto"/>
              </w:rPr>
            </w:pPr>
            <w:r>
              <w:rPr>
                <w:rFonts w:ascii="Arial" w:cs="Arial" w:eastAsia="Arial" w:hAnsi="Arial"/>
                <w:sz w:val="13"/>
                <w:szCs w:val="13"/>
                <w:color w:val="FFFFFF"/>
                <w:w w:val="95"/>
              </w:rPr>
              <w:t>Granted in</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ind w:right="20"/>
              <w:spacing w:after="0"/>
              <w:rPr>
                <w:sz w:val="20"/>
                <w:szCs w:val="20"/>
                <w:color w:val="auto"/>
              </w:rPr>
            </w:pPr>
            <w:r>
              <w:rPr>
                <w:rFonts w:ascii="Arial" w:cs="Arial" w:eastAsia="Arial" w:hAnsi="Arial"/>
                <w:sz w:val="13"/>
                <w:szCs w:val="13"/>
                <w:color w:val="FFFFFF"/>
                <w:w w:val="93"/>
              </w:rPr>
              <w:t>Value of Equity</w:t>
            </w:r>
          </w:p>
        </w:tc>
        <w:tc>
          <w:tcPr>
            <w:tcW w:w="94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ind w:left="120"/>
              <w:spacing w:after="0"/>
              <w:rPr>
                <w:sz w:val="20"/>
                <w:szCs w:val="20"/>
                <w:color w:val="auto"/>
              </w:rPr>
            </w:pPr>
            <w:r>
              <w:rPr>
                <w:rFonts w:ascii="Arial" w:cs="Arial" w:eastAsia="Arial" w:hAnsi="Arial"/>
                <w:sz w:val="13"/>
                <w:szCs w:val="13"/>
                <w:color w:val="FFFFFF"/>
                <w:w w:val="98"/>
              </w:rPr>
              <w:t>Change in Fair</w:t>
            </w:r>
          </w:p>
        </w:tc>
        <w:tc>
          <w:tcPr>
            <w:tcW w:w="1060" w:type="dxa"/>
            <w:vAlign w:val="bottom"/>
            <w:tcBorders>
              <w:right w:val="single" w:sz="8" w:color="123054"/>
            </w:tcBorders>
            <w:shd w:val="clear" w:color="auto" w:fill="123054"/>
          </w:tcPr>
          <w:p>
            <w:pPr>
              <w:spacing w:after="0"/>
              <w:rPr>
                <w:sz w:val="12"/>
                <w:szCs w:val="12"/>
                <w:color w:val="auto"/>
              </w:rPr>
            </w:pP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other Earnings</w:t>
            </w:r>
          </w:p>
        </w:tc>
        <w:tc>
          <w:tcPr>
            <w:tcW w:w="1160" w:type="dxa"/>
            <w:vAlign w:val="bottom"/>
            <w:shd w:val="clear" w:color="auto" w:fill="123054"/>
          </w:tcPr>
          <w:p>
            <w:pPr>
              <w:spacing w:after="0"/>
              <w:rPr>
                <w:sz w:val="12"/>
                <w:szCs w:val="12"/>
                <w:color w:val="auto"/>
              </w:rPr>
            </w:pP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77"/>
              <w:spacing w:after="0"/>
              <w:rPr>
                <w:sz w:val="20"/>
                <w:szCs w:val="20"/>
                <w:color w:val="auto"/>
              </w:rPr>
            </w:pPr>
            <w:r>
              <w:rPr>
                <w:rFonts w:ascii="Arial" w:cs="Arial" w:eastAsia="Arial" w:hAnsi="Arial"/>
                <w:sz w:val="13"/>
                <w:szCs w:val="13"/>
                <w:color w:val="FFFFFF"/>
                <w:w w:val="93"/>
              </w:rPr>
              <w:t>the Year</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ind w:right="20"/>
              <w:spacing w:after="0"/>
              <w:rPr>
                <w:sz w:val="20"/>
                <w:szCs w:val="20"/>
                <w:color w:val="auto"/>
              </w:rPr>
            </w:pPr>
            <w:r>
              <w:rPr>
                <w:rFonts w:ascii="Arial" w:cs="Arial" w:eastAsia="Arial" w:hAnsi="Arial"/>
                <w:sz w:val="13"/>
                <w:szCs w:val="13"/>
                <w:color w:val="FFFFFF"/>
                <w:w w:val="95"/>
              </w:rPr>
              <w:t>Awards Granted</w:t>
            </w:r>
          </w:p>
        </w:tc>
        <w:tc>
          <w:tcPr>
            <w:tcW w:w="940" w:type="dxa"/>
            <w:vAlign w:val="bottom"/>
            <w:tcBorders>
              <w:right w:val="single" w:sz="8" w:color="123054"/>
            </w:tcBorders>
            <w:shd w:val="clear" w:color="auto" w:fill="123054"/>
          </w:tcPr>
          <w:p>
            <w:pPr>
              <w:ind w:left="40"/>
              <w:spacing w:after="0"/>
              <w:rPr>
                <w:sz w:val="20"/>
                <w:szCs w:val="20"/>
                <w:color w:val="auto"/>
              </w:rPr>
            </w:pPr>
            <w:r>
              <w:rPr>
                <w:rFonts w:ascii="Arial" w:cs="Arial" w:eastAsia="Arial" w:hAnsi="Arial"/>
                <w:sz w:val="13"/>
                <w:szCs w:val="13"/>
                <w:color w:val="FFFFFF"/>
                <w:w w:val="94"/>
              </w:rPr>
              <w:t>Fair Value as of</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Value of</w:t>
            </w:r>
          </w:p>
        </w:tc>
        <w:tc>
          <w:tcPr>
            <w:tcW w:w="1060" w:type="dxa"/>
            <w:vAlign w:val="bottom"/>
            <w:tcBorders>
              <w:right w:val="single" w:sz="8" w:color="123054"/>
            </w:tcBorders>
            <w:shd w:val="clear" w:color="auto" w:fill="123054"/>
          </w:tcPr>
          <w:p>
            <w:pPr>
              <w:ind w:left="100"/>
              <w:spacing w:after="0"/>
              <w:rPr>
                <w:sz w:val="20"/>
                <w:szCs w:val="20"/>
                <w:color w:val="auto"/>
              </w:rPr>
            </w:pPr>
            <w:r>
              <w:rPr>
                <w:rFonts w:ascii="Arial" w:cs="Arial" w:eastAsia="Arial" w:hAnsi="Arial"/>
                <w:sz w:val="13"/>
                <w:szCs w:val="13"/>
                <w:color w:val="FFFFFF"/>
                <w:w w:val="96"/>
              </w:rPr>
              <w:t>Fair Value at the</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7"/>
              </w:rPr>
              <w:t>Paid on Equity</w:t>
            </w:r>
          </w:p>
        </w:tc>
        <w:tc>
          <w:tcPr>
            <w:tcW w:w="1160" w:type="dxa"/>
            <w:vAlign w:val="bottom"/>
            <w:shd w:val="clear" w:color="auto" w:fill="123054"/>
          </w:tcPr>
          <w:p>
            <w:pPr>
              <w:spacing w:after="0"/>
              <w:rPr>
                <w:sz w:val="12"/>
                <w:szCs w:val="12"/>
                <w:color w:val="auto"/>
              </w:rPr>
            </w:pPr>
          </w:p>
        </w:tc>
      </w:tr>
      <w:tr>
        <w:trPr>
          <w:trHeight w:val="162"/>
        </w:trPr>
        <w:tc>
          <w:tcPr>
            <w:tcW w:w="920" w:type="dxa"/>
            <w:vAlign w:val="bottom"/>
            <w:tcBorders>
              <w:right w:val="single" w:sz="8" w:color="123054"/>
            </w:tcBorders>
            <w:shd w:val="clear" w:color="auto" w:fill="123054"/>
          </w:tcPr>
          <w:p>
            <w:pPr>
              <w:spacing w:after="0"/>
              <w:rPr>
                <w:sz w:val="14"/>
                <w:szCs w:val="14"/>
                <w:color w:val="auto"/>
              </w:rPr>
            </w:pPr>
          </w:p>
        </w:tc>
        <w:tc>
          <w:tcPr>
            <w:tcW w:w="1000" w:type="dxa"/>
            <w:vAlign w:val="bottom"/>
            <w:shd w:val="clear" w:color="auto" w:fill="123054"/>
          </w:tcPr>
          <w:p>
            <w:pPr>
              <w:jc w:val="center"/>
              <w:ind w:left="57"/>
              <w:spacing w:after="0"/>
              <w:rPr>
                <w:sz w:val="20"/>
                <w:szCs w:val="20"/>
                <w:color w:val="auto"/>
              </w:rPr>
            </w:pPr>
            <w:r>
              <w:rPr>
                <w:rFonts w:ascii="Arial" w:cs="Arial" w:eastAsia="Arial" w:hAnsi="Arial"/>
                <w:sz w:val="13"/>
                <w:szCs w:val="13"/>
                <w:color w:val="FFFFFF"/>
                <w:w w:val="92"/>
              </w:rPr>
              <w:t>and</w:t>
            </w:r>
          </w:p>
        </w:tc>
        <w:tc>
          <w:tcPr>
            <w:tcW w:w="120" w:type="dxa"/>
            <w:vAlign w:val="bottom"/>
            <w:tcBorders>
              <w:right w:val="single" w:sz="8" w:color="123054"/>
            </w:tcBorders>
            <w:shd w:val="clear" w:color="auto" w:fill="123054"/>
          </w:tcPr>
          <w:p>
            <w:pPr>
              <w:spacing w:after="0"/>
              <w:rPr>
                <w:sz w:val="14"/>
                <w:szCs w:val="14"/>
                <w:color w:val="auto"/>
              </w:rPr>
            </w:pPr>
          </w:p>
        </w:tc>
        <w:tc>
          <w:tcPr>
            <w:tcW w:w="1000" w:type="dxa"/>
            <w:vAlign w:val="bottom"/>
            <w:gridSpan w:val="2"/>
            <w:shd w:val="clear" w:color="auto" w:fill="123054"/>
          </w:tcPr>
          <w:p>
            <w:pPr>
              <w:jc w:val="center"/>
              <w:ind w:right="20"/>
              <w:spacing w:after="0"/>
              <w:rPr>
                <w:sz w:val="20"/>
                <w:szCs w:val="20"/>
                <w:color w:val="auto"/>
              </w:rPr>
            </w:pPr>
            <w:r>
              <w:rPr>
                <w:rFonts w:ascii="Arial" w:cs="Arial" w:eastAsia="Arial" w:hAnsi="Arial"/>
                <w:sz w:val="13"/>
                <w:szCs w:val="13"/>
                <w:color w:val="FFFFFF"/>
                <w:w w:val="93"/>
              </w:rPr>
              <w:t>in Prior Years</w:t>
            </w:r>
          </w:p>
        </w:tc>
        <w:tc>
          <w:tcPr>
            <w:tcW w:w="940" w:type="dxa"/>
            <w:vAlign w:val="bottom"/>
            <w:tcBorders>
              <w:right w:val="single" w:sz="8" w:color="123054"/>
            </w:tcBorders>
            <w:shd w:val="clear" w:color="auto" w:fill="123054"/>
          </w:tcPr>
          <w:p>
            <w:pPr>
              <w:ind w:left="40"/>
              <w:spacing w:after="0"/>
              <w:rPr>
                <w:sz w:val="20"/>
                <w:szCs w:val="20"/>
                <w:color w:val="auto"/>
              </w:rPr>
            </w:pPr>
            <w:r>
              <w:rPr>
                <w:rFonts w:ascii="Arial" w:cs="Arial" w:eastAsia="Arial" w:hAnsi="Arial"/>
                <w:sz w:val="13"/>
                <w:szCs w:val="13"/>
                <w:color w:val="FFFFFF"/>
                <w:w w:val="96"/>
              </w:rPr>
              <w:t>Vesting Date of</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Equity Awards</w:t>
            </w:r>
          </w:p>
        </w:tc>
        <w:tc>
          <w:tcPr>
            <w:tcW w:w="10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End of the Prior</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8"/>
              </w:rPr>
              <w:t>Awards not</w:t>
            </w:r>
          </w:p>
        </w:tc>
        <w:tc>
          <w:tcPr>
            <w:tcW w:w="1160" w:type="dxa"/>
            <w:vAlign w:val="bottom"/>
            <w:shd w:val="clear" w:color="auto" w:fill="123054"/>
          </w:tcPr>
          <w:p>
            <w:pPr>
              <w:spacing w:after="0"/>
              <w:rPr>
                <w:sz w:val="14"/>
                <w:szCs w:val="14"/>
                <w:color w:val="auto"/>
              </w:rPr>
            </w:pP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57"/>
              <w:spacing w:after="0"/>
              <w:rPr>
                <w:sz w:val="20"/>
                <w:szCs w:val="20"/>
                <w:color w:val="auto"/>
              </w:rPr>
            </w:pPr>
            <w:r>
              <w:rPr>
                <w:rFonts w:ascii="Arial" w:cs="Arial" w:eastAsia="Arial" w:hAnsi="Arial"/>
                <w:sz w:val="13"/>
                <w:szCs w:val="13"/>
                <w:color w:val="FFFFFF"/>
                <w:w w:val="96"/>
              </w:rPr>
              <w:t>Outstanding</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ind w:right="60"/>
              <w:spacing w:after="0"/>
              <w:rPr>
                <w:sz w:val="20"/>
                <w:szCs w:val="20"/>
                <w:color w:val="auto"/>
              </w:rPr>
            </w:pPr>
            <w:r>
              <w:rPr>
                <w:rFonts w:ascii="Arial" w:cs="Arial" w:eastAsia="Arial" w:hAnsi="Arial"/>
                <w:sz w:val="13"/>
                <w:szCs w:val="13"/>
                <w:color w:val="FFFFFF"/>
              </w:rPr>
              <w:t>and</w:t>
            </w:r>
          </w:p>
        </w:tc>
        <w:tc>
          <w:tcPr>
            <w:tcW w:w="9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Equity Awards</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Granted in</w:t>
            </w:r>
          </w:p>
        </w:tc>
        <w:tc>
          <w:tcPr>
            <w:tcW w:w="10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Year of Equity</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Otherwise</w:t>
            </w:r>
          </w:p>
        </w:tc>
        <w:tc>
          <w:tcPr>
            <w:tcW w:w="116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89"/>
              </w:rPr>
              <w:t>Total</w:t>
            </w: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57"/>
              <w:spacing w:after="0"/>
              <w:rPr>
                <w:sz w:val="20"/>
                <w:szCs w:val="20"/>
                <w:color w:val="auto"/>
              </w:rPr>
            </w:pPr>
            <w:r>
              <w:rPr>
                <w:rFonts w:ascii="Arial" w:cs="Arial" w:eastAsia="Arial" w:hAnsi="Arial"/>
                <w:sz w:val="13"/>
                <w:szCs w:val="13"/>
                <w:color w:val="FFFFFF"/>
                <w:w w:val="92"/>
              </w:rPr>
              <w:t>and</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ind w:right="40"/>
              <w:spacing w:after="0"/>
              <w:rPr>
                <w:sz w:val="20"/>
                <w:szCs w:val="20"/>
                <w:color w:val="auto"/>
              </w:rPr>
            </w:pPr>
            <w:r>
              <w:rPr>
                <w:rFonts w:ascii="Arial" w:cs="Arial" w:eastAsia="Arial" w:hAnsi="Arial"/>
                <w:sz w:val="13"/>
                <w:szCs w:val="13"/>
                <w:color w:val="FFFFFF"/>
                <w:w w:val="96"/>
              </w:rPr>
              <w:t>Outstanding</w:t>
            </w:r>
          </w:p>
        </w:tc>
        <w:tc>
          <w:tcPr>
            <w:tcW w:w="9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Granted and</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2"/>
              </w:rPr>
              <w:t>Prior Years</w:t>
            </w:r>
          </w:p>
        </w:tc>
        <w:tc>
          <w:tcPr>
            <w:tcW w:w="10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7"/>
              </w:rPr>
              <w:t>Awards that were</w:t>
            </w:r>
          </w:p>
        </w:tc>
        <w:tc>
          <w:tcPr>
            <w:tcW w:w="1000" w:type="dxa"/>
            <w:vAlign w:val="bottom"/>
            <w:tcBorders>
              <w:right w:val="single" w:sz="8" w:color="123054"/>
            </w:tcBorders>
            <w:shd w:val="clear" w:color="auto" w:fill="123054"/>
          </w:tcPr>
          <w:p>
            <w:pPr>
              <w:ind w:left="80"/>
              <w:spacing w:after="0"/>
              <w:rPr>
                <w:sz w:val="20"/>
                <w:szCs w:val="20"/>
                <w:color w:val="auto"/>
              </w:rPr>
            </w:pPr>
            <w:r>
              <w:rPr>
                <w:rFonts w:ascii="Arial" w:cs="Arial" w:eastAsia="Arial" w:hAnsi="Arial"/>
                <w:sz w:val="13"/>
                <w:szCs w:val="13"/>
                <w:color w:val="FFFFFF"/>
                <w:w w:val="92"/>
              </w:rPr>
              <w:t>Reflected in Fair</w:t>
            </w:r>
          </w:p>
        </w:tc>
        <w:tc>
          <w:tcPr>
            <w:tcW w:w="116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99"/>
              </w:rPr>
              <w:t>Equity</w:t>
            </w:r>
          </w:p>
        </w:tc>
      </w:tr>
      <w:tr>
        <w:trPr>
          <w:trHeight w:val="148"/>
        </w:trPr>
        <w:tc>
          <w:tcPr>
            <w:tcW w:w="920" w:type="dxa"/>
            <w:vAlign w:val="bottom"/>
            <w:tcBorders>
              <w:right w:val="single" w:sz="8" w:color="123054"/>
            </w:tcBorders>
            <w:shd w:val="clear" w:color="auto" w:fill="123054"/>
          </w:tcPr>
          <w:p>
            <w:pPr>
              <w:spacing w:after="0"/>
              <w:rPr>
                <w:sz w:val="12"/>
                <w:szCs w:val="12"/>
                <w:color w:val="auto"/>
              </w:rPr>
            </w:pPr>
          </w:p>
        </w:tc>
        <w:tc>
          <w:tcPr>
            <w:tcW w:w="1000" w:type="dxa"/>
            <w:vAlign w:val="bottom"/>
            <w:shd w:val="clear" w:color="auto" w:fill="123054"/>
          </w:tcPr>
          <w:p>
            <w:pPr>
              <w:jc w:val="center"/>
              <w:ind w:left="117"/>
              <w:spacing w:after="0"/>
              <w:rPr>
                <w:sz w:val="20"/>
                <w:szCs w:val="20"/>
                <w:color w:val="auto"/>
              </w:rPr>
            </w:pPr>
            <w:r>
              <w:rPr>
                <w:rFonts w:ascii="Arial" w:cs="Arial" w:eastAsia="Arial" w:hAnsi="Arial"/>
                <w:sz w:val="13"/>
                <w:szCs w:val="13"/>
                <w:color w:val="FFFFFF"/>
                <w:w w:val="96"/>
              </w:rPr>
              <w:t>Unvested as</w:t>
            </w:r>
          </w:p>
        </w:tc>
        <w:tc>
          <w:tcPr>
            <w:tcW w:w="120" w:type="dxa"/>
            <w:vAlign w:val="bottom"/>
            <w:tcBorders>
              <w:right w:val="single" w:sz="8" w:color="123054"/>
            </w:tcBorders>
            <w:shd w:val="clear" w:color="auto" w:fill="123054"/>
          </w:tcPr>
          <w:p>
            <w:pPr>
              <w:spacing w:after="0"/>
              <w:rPr>
                <w:sz w:val="12"/>
                <w:szCs w:val="12"/>
                <w:color w:val="auto"/>
              </w:rPr>
            </w:pPr>
          </w:p>
        </w:tc>
        <w:tc>
          <w:tcPr>
            <w:tcW w:w="1000" w:type="dxa"/>
            <w:vAlign w:val="bottom"/>
            <w:gridSpan w:val="2"/>
            <w:shd w:val="clear" w:color="auto" w:fill="123054"/>
          </w:tcPr>
          <w:p>
            <w:pPr>
              <w:jc w:val="center"/>
              <w:ind w:right="20"/>
              <w:spacing w:after="0"/>
              <w:rPr>
                <w:sz w:val="20"/>
                <w:szCs w:val="20"/>
                <w:color w:val="auto"/>
              </w:rPr>
            </w:pPr>
            <w:r>
              <w:rPr>
                <w:rFonts w:ascii="Arial" w:cs="Arial" w:eastAsia="Arial" w:hAnsi="Arial"/>
                <w:sz w:val="13"/>
                <w:szCs w:val="13"/>
                <w:color w:val="FFFFFF"/>
                <w:w w:val="97"/>
              </w:rPr>
              <w:t>and Unvested</w:t>
            </w:r>
          </w:p>
        </w:tc>
        <w:tc>
          <w:tcPr>
            <w:tcW w:w="94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4"/>
              </w:rPr>
              <w:t>Vested in the</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that Vested in</w:t>
            </w:r>
          </w:p>
        </w:tc>
        <w:tc>
          <w:tcPr>
            <w:tcW w:w="106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Forfeited in the</w:t>
            </w:r>
          </w:p>
        </w:tc>
        <w:tc>
          <w:tcPr>
            <w:tcW w:w="1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3"/>
              </w:rPr>
              <w:t>Value or Total</w:t>
            </w:r>
          </w:p>
        </w:tc>
        <w:tc>
          <w:tcPr>
            <w:tcW w:w="116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97"/>
              </w:rPr>
              <w:t>Award</w:t>
            </w:r>
          </w:p>
        </w:tc>
      </w:tr>
      <w:tr>
        <w:trPr>
          <w:trHeight w:val="187"/>
        </w:trPr>
        <w:tc>
          <w:tcPr>
            <w:tcW w:w="920" w:type="dxa"/>
            <w:vAlign w:val="bottom"/>
            <w:tcBorders>
              <w:bottom w:val="single" w:sz="8" w:color="123054"/>
              <w:right w:val="single" w:sz="8" w:color="123054"/>
            </w:tcBorders>
            <w:shd w:val="clear" w:color="auto" w:fill="123054"/>
          </w:tcPr>
          <w:p>
            <w:pPr>
              <w:jc w:val="right"/>
              <w:ind w:right="557"/>
              <w:spacing w:after="0"/>
              <w:rPr>
                <w:sz w:val="20"/>
                <w:szCs w:val="20"/>
                <w:color w:val="auto"/>
              </w:rPr>
            </w:pPr>
            <w:r>
              <w:rPr>
                <w:rFonts w:ascii="Arial" w:cs="Arial" w:eastAsia="Arial" w:hAnsi="Arial"/>
                <w:sz w:val="13"/>
                <w:szCs w:val="13"/>
                <w:color w:val="FFFFFF"/>
              </w:rPr>
              <w:t>Year</w:t>
            </w:r>
          </w:p>
        </w:tc>
        <w:tc>
          <w:tcPr>
            <w:tcW w:w="1000" w:type="dxa"/>
            <w:vAlign w:val="bottom"/>
            <w:tcBorders>
              <w:bottom w:val="single" w:sz="8" w:color="123054"/>
            </w:tcBorders>
            <w:shd w:val="clear" w:color="auto" w:fill="123054"/>
          </w:tcPr>
          <w:p>
            <w:pPr>
              <w:jc w:val="center"/>
              <w:ind w:left="117"/>
              <w:spacing w:after="0"/>
              <w:rPr>
                <w:sz w:val="20"/>
                <w:szCs w:val="20"/>
                <w:color w:val="auto"/>
              </w:rPr>
            </w:pPr>
            <w:r>
              <w:rPr>
                <w:rFonts w:ascii="Arial" w:cs="Arial" w:eastAsia="Arial" w:hAnsi="Arial"/>
                <w:sz w:val="13"/>
                <w:szCs w:val="13"/>
                <w:color w:val="FFFFFF"/>
                <w:w w:val="96"/>
              </w:rPr>
              <w:t>of Year End</w:t>
            </w:r>
          </w:p>
        </w:tc>
        <w:tc>
          <w:tcPr>
            <w:tcW w:w="120" w:type="dxa"/>
            <w:vAlign w:val="bottom"/>
            <w:tcBorders>
              <w:bottom w:val="single" w:sz="8" w:color="123054"/>
              <w:right w:val="single" w:sz="8" w:color="123054"/>
            </w:tcBorders>
            <w:shd w:val="clear" w:color="auto" w:fill="123054"/>
          </w:tcPr>
          <w:p>
            <w:pPr>
              <w:spacing w:after="0"/>
              <w:rPr>
                <w:sz w:val="16"/>
                <w:szCs w:val="16"/>
                <w:color w:val="auto"/>
              </w:rPr>
            </w:pPr>
          </w:p>
        </w:tc>
        <w:tc>
          <w:tcPr>
            <w:tcW w:w="1000" w:type="dxa"/>
            <w:vAlign w:val="bottom"/>
            <w:tcBorders>
              <w:bottom w:val="single" w:sz="8" w:color="123054"/>
            </w:tcBorders>
            <w:gridSpan w:val="2"/>
            <w:shd w:val="clear" w:color="auto" w:fill="123054"/>
          </w:tcPr>
          <w:p>
            <w:pPr>
              <w:jc w:val="center"/>
              <w:spacing w:after="0"/>
              <w:rPr>
                <w:sz w:val="20"/>
                <w:szCs w:val="20"/>
                <w:color w:val="auto"/>
              </w:rPr>
            </w:pPr>
            <w:r>
              <w:rPr>
                <w:rFonts w:ascii="Arial" w:cs="Arial" w:eastAsia="Arial" w:hAnsi="Arial"/>
                <w:sz w:val="13"/>
                <w:szCs w:val="13"/>
                <w:color w:val="FFFFFF"/>
                <w:w w:val="95"/>
              </w:rPr>
              <w:t>as of Year End</w:t>
            </w:r>
          </w:p>
        </w:tc>
        <w:tc>
          <w:tcPr>
            <w:tcW w:w="940" w:type="dxa"/>
            <w:vAlign w:val="bottom"/>
            <w:tcBorders>
              <w:bottom w:val="single" w:sz="8" w:color="123054"/>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4"/>
              </w:rPr>
              <w:t>Year</w:t>
            </w:r>
          </w:p>
        </w:tc>
        <w:tc>
          <w:tcPr>
            <w:tcW w:w="1000" w:type="dxa"/>
            <w:vAlign w:val="bottom"/>
            <w:tcBorders>
              <w:bottom w:val="single" w:sz="8" w:color="123054"/>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3"/>
              </w:rPr>
              <w:t>the Year</w:t>
            </w:r>
          </w:p>
        </w:tc>
        <w:tc>
          <w:tcPr>
            <w:tcW w:w="1060" w:type="dxa"/>
            <w:vAlign w:val="bottom"/>
            <w:tcBorders>
              <w:bottom w:val="single" w:sz="8" w:color="123054"/>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4"/>
              </w:rPr>
              <w:t>Year</w:t>
            </w:r>
          </w:p>
        </w:tc>
        <w:tc>
          <w:tcPr>
            <w:tcW w:w="1000" w:type="dxa"/>
            <w:vAlign w:val="bottom"/>
            <w:tcBorders>
              <w:bottom w:val="single" w:sz="8" w:color="123054"/>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Compensation</w:t>
            </w:r>
          </w:p>
        </w:tc>
        <w:tc>
          <w:tcPr>
            <w:tcW w:w="1160" w:type="dxa"/>
            <w:vAlign w:val="bottom"/>
            <w:tcBorders>
              <w:bottom w:val="single" w:sz="8" w:color="123054"/>
            </w:tcBorders>
            <w:shd w:val="clear" w:color="auto" w:fill="123054"/>
          </w:tcPr>
          <w:p>
            <w:pPr>
              <w:ind w:left="260"/>
              <w:spacing w:after="0"/>
              <w:rPr>
                <w:sz w:val="20"/>
                <w:szCs w:val="20"/>
                <w:color w:val="auto"/>
              </w:rPr>
            </w:pPr>
            <w:r>
              <w:rPr>
                <w:rFonts w:ascii="Arial" w:cs="Arial" w:eastAsia="Arial" w:hAnsi="Arial"/>
                <w:sz w:val="13"/>
                <w:szCs w:val="13"/>
                <w:color w:val="FFFFFF"/>
              </w:rPr>
              <w:t>Adjustments</w:t>
            </w:r>
          </w:p>
        </w:tc>
      </w:tr>
      <w:tr>
        <w:trPr>
          <w:trHeight w:val="166"/>
        </w:trPr>
        <w:tc>
          <w:tcPr>
            <w:tcW w:w="920" w:type="dxa"/>
            <w:vAlign w:val="bottom"/>
            <w:tcBorders>
              <w:right w:val="single" w:sz="8" w:color="123054"/>
            </w:tcBorders>
          </w:tcPr>
          <w:p>
            <w:pPr>
              <w:jc w:val="right"/>
              <w:ind w:right="477"/>
              <w:spacing w:after="0"/>
              <w:rPr>
                <w:sz w:val="20"/>
                <w:szCs w:val="20"/>
                <w:color w:val="auto"/>
              </w:rPr>
            </w:pPr>
            <w:r>
              <w:rPr>
                <w:rFonts w:ascii="Arial" w:cs="Arial" w:eastAsia="Arial" w:hAnsi="Arial"/>
                <w:sz w:val="13"/>
                <w:szCs w:val="13"/>
                <w:color w:val="auto"/>
              </w:rPr>
              <w:t>2024</w:t>
            </w:r>
          </w:p>
        </w:tc>
        <w:tc>
          <w:tcPr>
            <w:tcW w:w="1000" w:type="dxa"/>
            <w:vAlign w:val="bottom"/>
          </w:tcPr>
          <w:p>
            <w:pPr>
              <w:jc w:val="center"/>
              <w:ind w:left="117"/>
              <w:spacing w:after="0"/>
              <w:rPr>
                <w:sz w:val="20"/>
                <w:szCs w:val="20"/>
                <w:color w:val="auto"/>
              </w:rPr>
            </w:pPr>
            <w:r>
              <w:rPr>
                <w:rFonts w:ascii="Arial" w:cs="Arial" w:eastAsia="Arial" w:hAnsi="Arial"/>
                <w:sz w:val="13"/>
                <w:szCs w:val="13"/>
                <w:color w:val="auto"/>
                <w:w w:val="95"/>
              </w:rPr>
              <w:t>$3,470,704</w:t>
            </w:r>
          </w:p>
        </w:tc>
        <w:tc>
          <w:tcPr>
            <w:tcW w:w="120" w:type="dxa"/>
            <w:vAlign w:val="bottom"/>
            <w:tcBorders>
              <w:right w:val="single" w:sz="8" w:color="123054"/>
            </w:tcBorders>
          </w:tcPr>
          <w:p>
            <w:pPr>
              <w:spacing w:after="0"/>
              <w:rPr>
                <w:sz w:val="14"/>
                <w:szCs w:val="14"/>
                <w:color w:val="auto"/>
              </w:rPr>
            </w:pPr>
          </w:p>
        </w:tc>
        <w:tc>
          <w:tcPr>
            <w:tcW w:w="9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7"/>
              </w:rPr>
              <w:t>$(3,882,120)</w:t>
            </w:r>
          </w:p>
        </w:tc>
        <w:tc>
          <w:tcPr>
            <w:tcW w:w="60" w:type="dxa"/>
            <w:vAlign w:val="bottom"/>
          </w:tcPr>
          <w:p>
            <w:pPr>
              <w:spacing w:after="0"/>
              <w:rPr>
                <w:sz w:val="14"/>
                <w:szCs w:val="14"/>
                <w:color w:val="auto"/>
              </w:rPr>
            </w:pPr>
          </w:p>
        </w:tc>
        <w:tc>
          <w:tcPr>
            <w:tcW w:w="9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5"/>
              </w:rPr>
              <w:t>$271,929</w:t>
            </w:r>
          </w:p>
        </w:tc>
        <w:tc>
          <w:tcPr>
            <w:tcW w:w="106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w:t>
            </w:r>
          </w:p>
        </w:tc>
        <w:tc>
          <w:tcPr>
            <w:tcW w:w="1160" w:type="dxa"/>
            <w:vAlign w:val="bottom"/>
          </w:tcPr>
          <w:p>
            <w:pPr>
              <w:jc w:val="center"/>
              <w:ind w:left="37"/>
              <w:spacing w:after="0"/>
              <w:rPr>
                <w:sz w:val="20"/>
                <w:szCs w:val="20"/>
                <w:color w:val="auto"/>
              </w:rPr>
            </w:pPr>
            <w:r>
              <w:rPr>
                <w:rFonts w:ascii="Arial" w:cs="Arial" w:eastAsia="Arial" w:hAnsi="Arial"/>
                <w:sz w:val="13"/>
                <w:szCs w:val="13"/>
                <w:color w:val="auto"/>
                <w:w w:val="98"/>
              </w:rPr>
              <w:t>$(139,487)</w:t>
            </w:r>
          </w:p>
        </w:tc>
      </w:tr>
      <w:tr>
        <w:trPr>
          <w:trHeight w:val="23"/>
        </w:trPr>
        <w:tc>
          <w:tcPr>
            <w:tcW w:w="920" w:type="dxa"/>
            <w:vAlign w:val="bottom"/>
            <w:tcBorders>
              <w:right w:val="single" w:sz="8" w:color="123054"/>
            </w:tcBorders>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123054"/>
            </w:tcBorders>
          </w:tcPr>
          <w:p>
            <w:pPr>
              <w:spacing w:after="0"/>
              <w:rPr>
                <w:sz w:val="2"/>
                <w:szCs w:val="2"/>
                <w:color w:val="auto"/>
              </w:rPr>
            </w:pPr>
          </w:p>
        </w:tc>
        <w:tc>
          <w:tcPr>
            <w:tcW w:w="940" w:type="dxa"/>
            <w:vAlign w:val="bottom"/>
            <w:tcBorders>
              <w:right w:val="single" w:sz="8" w:color="123054"/>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06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920" w:type="dxa"/>
            <w:vAlign w:val="bottom"/>
            <w:tcBorders>
              <w:bottom w:val="single" w:sz="8" w:color="DBDBDB"/>
              <w:right w:val="single" w:sz="8" w:color="123054"/>
            </w:tcBorders>
            <w:shd w:val="clear" w:color="auto" w:fill="DBDBDB"/>
          </w:tcPr>
          <w:p>
            <w:pPr>
              <w:jc w:val="right"/>
              <w:ind w:right="477"/>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DBDBDB"/>
            </w:tcBorders>
            <w:shd w:val="clear" w:color="auto" w:fill="DBDBDB"/>
          </w:tcPr>
          <w:p>
            <w:pPr>
              <w:jc w:val="center"/>
              <w:ind w:left="97"/>
              <w:spacing w:after="0"/>
              <w:rPr>
                <w:sz w:val="20"/>
                <w:szCs w:val="20"/>
                <w:color w:val="auto"/>
              </w:rPr>
            </w:pPr>
            <w:r>
              <w:rPr>
                <w:rFonts w:ascii="Arial" w:cs="Arial" w:eastAsia="Arial" w:hAnsi="Arial"/>
                <w:sz w:val="13"/>
                <w:szCs w:val="13"/>
                <w:color w:val="auto"/>
                <w:w w:val="96"/>
              </w:rPr>
              <w:t>5,587,004</w:t>
            </w:r>
          </w:p>
        </w:tc>
        <w:tc>
          <w:tcPr>
            <w:tcW w:w="120" w:type="dxa"/>
            <w:vAlign w:val="bottom"/>
            <w:tcBorders>
              <w:bottom w:val="single" w:sz="8" w:color="DBDBDB"/>
              <w:right w:val="single" w:sz="8" w:color="123054"/>
            </w:tcBorders>
            <w:shd w:val="clear" w:color="auto" w:fill="DBDBDB"/>
          </w:tcPr>
          <w:p>
            <w:pPr>
              <w:spacing w:after="0"/>
              <w:rPr>
                <w:sz w:val="15"/>
                <w:szCs w:val="15"/>
                <w:color w:val="auto"/>
              </w:rPr>
            </w:pPr>
          </w:p>
        </w:tc>
        <w:tc>
          <w:tcPr>
            <w:tcW w:w="940" w:type="dxa"/>
            <w:vAlign w:val="bottom"/>
            <w:tcBorders>
              <w:bottom w:val="single" w:sz="8" w:color="DBDBDB"/>
              <w:right w:val="single" w:sz="8" w:color="123054"/>
            </w:tcBorders>
            <w:shd w:val="clear" w:color="auto" w:fill="DBDBDB"/>
          </w:tcPr>
          <w:p>
            <w:pPr>
              <w:jc w:val="right"/>
              <w:ind w:right="57"/>
              <w:spacing w:after="0"/>
              <w:rPr>
                <w:sz w:val="20"/>
                <w:szCs w:val="20"/>
                <w:color w:val="auto"/>
              </w:rPr>
            </w:pPr>
            <w:r>
              <w:rPr>
                <w:rFonts w:ascii="Arial" w:cs="Arial" w:eastAsia="Arial" w:hAnsi="Arial"/>
                <w:sz w:val="13"/>
                <w:szCs w:val="13"/>
                <w:color w:val="auto"/>
              </w:rPr>
              <w:t>(1,441,983)</w:t>
            </w:r>
          </w:p>
        </w:tc>
        <w:tc>
          <w:tcPr>
            <w:tcW w:w="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3"/>
              </w:rPr>
              <w:t>125,819</w:t>
            </w:r>
          </w:p>
        </w:tc>
        <w:tc>
          <w:tcPr>
            <w:tcW w:w="106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DBDBDB"/>
            </w:tcBorders>
            <w:shd w:val="clear" w:color="auto" w:fill="DBDBDB"/>
          </w:tcPr>
          <w:p>
            <w:pPr>
              <w:jc w:val="center"/>
              <w:ind w:left="17"/>
              <w:spacing w:after="0"/>
              <w:rPr>
                <w:sz w:val="20"/>
                <w:szCs w:val="20"/>
                <w:color w:val="auto"/>
              </w:rPr>
            </w:pPr>
            <w:r>
              <w:rPr>
                <w:rFonts w:ascii="Arial" w:cs="Arial" w:eastAsia="Arial" w:hAnsi="Arial"/>
                <w:sz w:val="13"/>
                <w:szCs w:val="13"/>
                <w:color w:val="auto"/>
                <w:w w:val="96"/>
              </w:rPr>
              <w:t>4,270,840</w:t>
            </w:r>
          </w:p>
        </w:tc>
      </w:tr>
      <w:tr>
        <w:trPr>
          <w:trHeight w:val="175"/>
        </w:trPr>
        <w:tc>
          <w:tcPr>
            <w:tcW w:w="920" w:type="dxa"/>
            <w:vAlign w:val="bottom"/>
            <w:tcBorders>
              <w:right w:val="single" w:sz="8" w:color="123054"/>
            </w:tcBorders>
          </w:tcPr>
          <w:p>
            <w:pPr>
              <w:jc w:val="right"/>
              <w:ind w:right="477"/>
              <w:spacing w:after="0"/>
              <w:rPr>
                <w:sz w:val="20"/>
                <w:szCs w:val="20"/>
                <w:color w:val="auto"/>
              </w:rPr>
            </w:pPr>
            <w:r>
              <w:rPr>
                <w:rFonts w:ascii="Arial" w:cs="Arial" w:eastAsia="Arial" w:hAnsi="Arial"/>
                <w:sz w:val="13"/>
                <w:szCs w:val="13"/>
                <w:color w:val="auto"/>
              </w:rPr>
              <w:t>2022</w:t>
            </w:r>
          </w:p>
        </w:tc>
        <w:tc>
          <w:tcPr>
            <w:tcW w:w="1000" w:type="dxa"/>
            <w:vAlign w:val="bottom"/>
          </w:tcPr>
          <w:p>
            <w:pPr>
              <w:jc w:val="center"/>
              <w:ind w:left="97"/>
              <w:spacing w:after="0"/>
              <w:rPr>
                <w:sz w:val="20"/>
                <w:szCs w:val="20"/>
                <w:color w:val="auto"/>
              </w:rPr>
            </w:pPr>
            <w:r>
              <w:rPr>
                <w:rFonts w:ascii="Arial" w:cs="Arial" w:eastAsia="Arial" w:hAnsi="Arial"/>
                <w:sz w:val="13"/>
                <w:szCs w:val="13"/>
                <w:color w:val="auto"/>
                <w:w w:val="96"/>
              </w:rPr>
              <w:t>4,923,201</w:t>
            </w:r>
          </w:p>
        </w:tc>
        <w:tc>
          <w:tcPr>
            <w:tcW w:w="120" w:type="dxa"/>
            <w:vAlign w:val="bottom"/>
            <w:tcBorders>
              <w:right w:val="single" w:sz="8" w:color="123054"/>
            </w:tcBorders>
          </w:tcPr>
          <w:p>
            <w:pPr>
              <w:spacing w:after="0"/>
              <w:rPr>
                <w:sz w:val="15"/>
                <w:szCs w:val="15"/>
                <w:color w:val="auto"/>
              </w:rPr>
            </w:pPr>
          </w:p>
        </w:tc>
        <w:tc>
          <w:tcPr>
            <w:tcW w:w="940" w:type="dxa"/>
            <w:vAlign w:val="bottom"/>
            <w:tcBorders>
              <w:right w:val="single" w:sz="8" w:color="123054"/>
            </w:tcBorders>
          </w:tcPr>
          <w:p>
            <w:pPr>
              <w:jc w:val="right"/>
              <w:ind w:right="57"/>
              <w:spacing w:after="0"/>
              <w:rPr>
                <w:sz w:val="20"/>
                <w:szCs w:val="20"/>
                <w:color w:val="auto"/>
              </w:rPr>
            </w:pPr>
            <w:r>
              <w:rPr>
                <w:rFonts w:ascii="Arial" w:cs="Arial" w:eastAsia="Arial" w:hAnsi="Arial"/>
                <w:sz w:val="13"/>
                <w:szCs w:val="13"/>
                <w:color w:val="auto"/>
              </w:rPr>
              <w:t>(1,890,720)</w:t>
            </w:r>
          </w:p>
        </w:tc>
        <w:tc>
          <w:tcPr>
            <w:tcW w:w="60" w:type="dxa"/>
            <w:vAlign w:val="bottom"/>
          </w:tcPr>
          <w:p>
            <w:pPr>
              <w:spacing w:after="0"/>
              <w:rPr>
                <w:sz w:val="15"/>
                <w:szCs w:val="15"/>
                <w:color w:val="auto"/>
              </w:rPr>
            </w:pPr>
          </w:p>
        </w:tc>
        <w:tc>
          <w:tcPr>
            <w:tcW w:w="9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(378,534)</w:t>
            </w:r>
          </w:p>
        </w:tc>
        <w:tc>
          <w:tcPr>
            <w:tcW w:w="106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ind w:left="17"/>
              <w:spacing w:after="0"/>
              <w:rPr>
                <w:sz w:val="20"/>
                <w:szCs w:val="20"/>
                <w:color w:val="auto"/>
              </w:rPr>
            </w:pPr>
            <w:r>
              <w:rPr>
                <w:rFonts w:ascii="Arial" w:cs="Arial" w:eastAsia="Arial" w:hAnsi="Arial"/>
                <w:sz w:val="13"/>
                <w:szCs w:val="13"/>
                <w:color w:val="auto"/>
                <w:w w:val="96"/>
              </w:rPr>
              <w:t>2,653,947</w:t>
            </w:r>
          </w:p>
        </w:tc>
      </w:tr>
      <w:tr>
        <w:trPr>
          <w:trHeight w:val="28"/>
        </w:trPr>
        <w:tc>
          <w:tcPr>
            <w:tcW w:w="920" w:type="dxa"/>
            <w:vAlign w:val="bottom"/>
            <w:tcBorders>
              <w:right w:val="single" w:sz="8" w:color="123054"/>
            </w:tcBorders>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123054"/>
            </w:tcBorders>
          </w:tcPr>
          <w:p>
            <w:pPr>
              <w:spacing w:after="0"/>
              <w:rPr>
                <w:sz w:val="2"/>
                <w:szCs w:val="2"/>
                <w:color w:val="auto"/>
              </w:rPr>
            </w:pPr>
          </w:p>
        </w:tc>
        <w:tc>
          <w:tcPr>
            <w:tcW w:w="940" w:type="dxa"/>
            <w:vAlign w:val="bottom"/>
            <w:tcBorders>
              <w:right w:val="single" w:sz="8" w:color="123054"/>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060" w:type="dxa"/>
            <w:vAlign w:val="bottom"/>
            <w:tcBorders>
              <w:right w:val="single" w:sz="8" w:color="123054"/>
            </w:tcBorders>
          </w:tcPr>
          <w:p>
            <w:pPr>
              <w:spacing w:after="0"/>
              <w:rPr>
                <w:sz w:val="2"/>
                <w:szCs w:val="2"/>
                <w:color w:val="auto"/>
              </w:rPr>
            </w:pPr>
          </w:p>
        </w:tc>
        <w:tc>
          <w:tcPr>
            <w:tcW w:w="1000" w:type="dxa"/>
            <w:vAlign w:val="bottom"/>
            <w:tcBorders>
              <w:right w:val="single" w:sz="8" w:color="123054"/>
            </w:tcBorders>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920" w:type="dxa"/>
            <w:vAlign w:val="bottom"/>
            <w:tcBorders>
              <w:bottom w:val="single" w:sz="8" w:color="DBDBDB"/>
              <w:right w:val="single" w:sz="8" w:color="123054"/>
            </w:tcBorders>
            <w:shd w:val="clear" w:color="auto" w:fill="DBDBDB"/>
          </w:tcPr>
          <w:p>
            <w:pPr>
              <w:jc w:val="right"/>
              <w:ind w:right="477"/>
              <w:spacing w:after="0"/>
              <w:rPr>
                <w:sz w:val="20"/>
                <w:szCs w:val="20"/>
                <w:color w:val="auto"/>
              </w:rPr>
            </w:pPr>
            <w:r>
              <w:rPr>
                <w:rFonts w:ascii="Arial" w:cs="Arial" w:eastAsia="Arial" w:hAnsi="Arial"/>
                <w:sz w:val="13"/>
                <w:szCs w:val="13"/>
                <w:color w:val="auto"/>
              </w:rPr>
              <w:t>2021</w:t>
            </w:r>
          </w:p>
        </w:tc>
        <w:tc>
          <w:tcPr>
            <w:tcW w:w="1000" w:type="dxa"/>
            <w:vAlign w:val="bottom"/>
            <w:tcBorders>
              <w:bottom w:val="single" w:sz="8" w:color="DBDBDB"/>
            </w:tcBorders>
            <w:shd w:val="clear" w:color="auto" w:fill="DBDBDB"/>
          </w:tcPr>
          <w:p>
            <w:pPr>
              <w:jc w:val="center"/>
              <w:ind w:left="97"/>
              <w:spacing w:after="0"/>
              <w:rPr>
                <w:sz w:val="20"/>
                <w:szCs w:val="20"/>
                <w:color w:val="auto"/>
              </w:rPr>
            </w:pPr>
            <w:r>
              <w:rPr>
                <w:rFonts w:ascii="Arial" w:cs="Arial" w:eastAsia="Arial" w:hAnsi="Arial"/>
                <w:sz w:val="13"/>
                <w:szCs w:val="13"/>
                <w:color w:val="auto"/>
                <w:w w:val="96"/>
              </w:rPr>
              <w:t>6,710,481</w:t>
            </w:r>
          </w:p>
        </w:tc>
        <w:tc>
          <w:tcPr>
            <w:tcW w:w="120" w:type="dxa"/>
            <w:vAlign w:val="bottom"/>
            <w:tcBorders>
              <w:bottom w:val="single" w:sz="8" w:color="DBDBDB"/>
              <w:right w:val="single" w:sz="8" w:color="123054"/>
            </w:tcBorders>
            <w:shd w:val="clear" w:color="auto" w:fill="DBDBDB"/>
          </w:tcPr>
          <w:p>
            <w:pPr>
              <w:spacing w:after="0"/>
              <w:rPr>
                <w:sz w:val="15"/>
                <w:szCs w:val="15"/>
                <w:color w:val="auto"/>
              </w:rPr>
            </w:pPr>
          </w:p>
        </w:tc>
        <w:tc>
          <w:tcPr>
            <w:tcW w:w="940" w:type="dxa"/>
            <w:vAlign w:val="bottom"/>
            <w:tcBorders>
              <w:bottom w:val="single" w:sz="8" w:color="DBDBDB"/>
              <w:right w:val="single" w:sz="8" w:color="123054"/>
            </w:tcBorders>
            <w:shd w:val="clear" w:color="auto" w:fill="DBDBDB"/>
          </w:tcPr>
          <w:p>
            <w:pPr>
              <w:jc w:val="right"/>
              <w:ind w:right="97"/>
              <w:spacing w:after="0"/>
              <w:rPr>
                <w:sz w:val="20"/>
                <w:szCs w:val="20"/>
                <w:color w:val="auto"/>
              </w:rPr>
            </w:pPr>
            <w:r>
              <w:rPr>
                <w:rFonts w:ascii="Arial" w:cs="Arial" w:eastAsia="Arial" w:hAnsi="Arial"/>
                <w:sz w:val="13"/>
                <w:szCs w:val="13"/>
                <w:color w:val="auto"/>
              </w:rPr>
              <w:t>2,626,294</w:t>
            </w:r>
          </w:p>
        </w:tc>
        <w:tc>
          <w:tcPr>
            <w:tcW w:w="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5"/>
              </w:rPr>
              <w:t>38,282</w:t>
            </w:r>
          </w:p>
        </w:tc>
        <w:tc>
          <w:tcPr>
            <w:tcW w:w="106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DBDBDB"/>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DBDBDB"/>
            </w:tcBorders>
            <w:shd w:val="clear" w:color="auto" w:fill="DBDBDB"/>
          </w:tcPr>
          <w:p>
            <w:pPr>
              <w:jc w:val="center"/>
              <w:ind w:left="17"/>
              <w:spacing w:after="0"/>
              <w:rPr>
                <w:sz w:val="20"/>
                <w:szCs w:val="20"/>
                <w:color w:val="auto"/>
              </w:rPr>
            </w:pPr>
            <w:r>
              <w:rPr>
                <w:rFonts w:ascii="Arial" w:cs="Arial" w:eastAsia="Arial" w:hAnsi="Arial"/>
                <w:sz w:val="13"/>
                <w:szCs w:val="13"/>
                <w:color w:val="auto"/>
                <w:w w:val="96"/>
              </w:rPr>
              <w:t>9,375,057</w:t>
            </w:r>
          </w:p>
        </w:tc>
      </w:tr>
      <w:tr>
        <w:trPr>
          <w:trHeight w:val="175"/>
        </w:trPr>
        <w:tc>
          <w:tcPr>
            <w:tcW w:w="920" w:type="dxa"/>
            <w:vAlign w:val="bottom"/>
            <w:tcBorders>
              <w:right w:val="single" w:sz="8" w:color="123054"/>
            </w:tcBorders>
          </w:tcPr>
          <w:p>
            <w:pPr>
              <w:jc w:val="right"/>
              <w:ind w:right="477"/>
              <w:spacing w:after="0"/>
              <w:rPr>
                <w:sz w:val="20"/>
                <w:szCs w:val="20"/>
                <w:color w:val="auto"/>
              </w:rPr>
            </w:pPr>
            <w:r>
              <w:rPr>
                <w:rFonts w:ascii="Arial" w:cs="Arial" w:eastAsia="Arial" w:hAnsi="Arial"/>
                <w:sz w:val="13"/>
                <w:szCs w:val="13"/>
                <w:color w:val="auto"/>
              </w:rPr>
              <w:t>2020</w:t>
            </w:r>
          </w:p>
        </w:tc>
        <w:tc>
          <w:tcPr>
            <w:tcW w:w="1000" w:type="dxa"/>
            <w:vAlign w:val="bottom"/>
          </w:tcPr>
          <w:p>
            <w:pPr>
              <w:jc w:val="center"/>
              <w:ind w:left="97"/>
              <w:spacing w:after="0"/>
              <w:rPr>
                <w:sz w:val="20"/>
                <w:szCs w:val="20"/>
                <w:color w:val="auto"/>
              </w:rPr>
            </w:pPr>
            <w:r>
              <w:rPr>
                <w:rFonts w:ascii="Arial" w:cs="Arial" w:eastAsia="Arial" w:hAnsi="Arial"/>
                <w:sz w:val="13"/>
                <w:szCs w:val="13"/>
                <w:color w:val="auto"/>
                <w:w w:val="96"/>
              </w:rPr>
              <w:t>2,557,575</w:t>
            </w:r>
          </w:p>
        </w:tc>
        <w:tc>
          <w:tcPr>
            <w:tcW w:w="120" w:type="dxa"/>
            <w:vAlign w:val="bottom"/>
            <w:tcBorders>
              <w:right w:val="single" w:sz="8" w:color="123054"/>
            </w:tcBorders>
          </w:tcPr>
          <w:p>
            <w:pPr>
              <w:spacing w:after="0"/>
              <w:rPr>
                <w:sz w:val="15"/>
                <w:szCs w:val="15"/>
                <w:color w:val="auto"/>
              </w:rPr>
            </w:pPr>
          </w:p>
        </w:tc>
        <w:tc>
          <w:tcPr>
            <w:tcW w:w="940" w:type="dxa"/>
            <w:vAlign w:val="bottom"/>
            <w:tcBorders>
              <w:right w:val="single" w:sz="8" w:color="123054"/>
            </w:tcBorders>
          </w:tcPr>
          <w:p>
            <w:pPr>
              <w:jc w:val="right"/>
              <w:ind w:right="57"/>
              <w:spacing w:after="0"/>
              <w:rPr>
                <w:sz w:val="20"/>
                <w:szCs w:val="20"/>
                <w:color w:val="auto"/>
              </w:rPr>
            </w:pPr>
            <w:r>
              <w:rPr>
                <w:rFonts w:ascii="Arial" w:cs="Arial" w:eastAsia="Arial" w:hAnsi="Arial"/>
                <w:sz w:val="13"/>
                <w:szCs w:val="13"/>
                <w:color w:val="auto"/>
              </w:rPr>
              <w:t>(3,438,221)</w:t>
            </w:r>
          </w:p>
        </w:tc>
        <w:tc>
          <w:tcPr>
            <w:tcW w:w="60" w:type="dxa"/>
            <w:vAlign w:val="bottom"/>
          </w:tcPr>
          <w:p>
            <w:pPr>
              <w:spacing w:after="0"/>
              <w:rPr>
                <w:sz w:val="15"/>
                <w:szCs w:val="15"/>
                <w:color w:val="auto"/>
              </w:rPr>
            </w:pPr>
          </w:p>
        </w:tc>
        <w:tc>
          <w:tcPr>
            <w:tcW w:w="94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(601,584)</w:t>
            </w:r>
          </w:p>
        </w:tc>
        <w:tc>
          <w:tcPr>
            <w:tcW w:w="106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ind w:left="17"/>
              <w:spacing w:after="0"/>
              <w:rPr>
                <w:sz w:val="20"/>
                <w:szCs w:val="20"/>
                <w:color w:val="auto"/>
              </w:rPr>
            </w:pPr>
            <w:r>
              <w:rPr>
                <w:rFonts w:ascii="Arial" w:cs="Arial" w:eastAsia="Arial" w:hAnsi="Arial"/>
                <w:sz w:val="13"/>
                <w:szCs w:val="13"/>
                <w:color w:val="auto"/>
                <w:w w:val="96"/>
              </w:rPr>
              <w:t>(1,482,230)</w:t>
            </w:r>
          </w:p>
        </w:tc>
      </w:tr>
      <w:tr>
        <w:trPr>
          <w:trHeight w:val="28"/>
        </w:trPr>
        <w:tc>
          <w:tcPr>
            <w:tcW w:w="920" w:type="dxa"/>
            <w:vAlign w:val="bottom"/>
            <w:tcBorders>
              <w:bottom w:val="single" w:sz="8" w:color="123054"/>
              <w:right w:val="single" w:sz="8" w:color="123054"/>
            </w:tcBorders>
          </w:tcPr>
          <w:p>
            <w:pPr>
              <w:spacing w:after="0"/>
              <w:rPr>
                <w:sz w:val="2"/>
                <w:szCs w:val="2"/>
                <w:color w:val="auto"/>
              </w:rPr>
            </w:pPr>
          </w:p>
        </w:tc>
        <w:tc>
          <w:tcPr>
            <w:tcW w:w="1000" w:type="dxa"/>
            <w:vAlign w:val="bottom"/>
            <w:tcBorders>
              <w:bottom w:val="single" w:sz="8" w:color="123054"/>
            </w:tcBorders>
          </w:tcPr>
          <w:p>
            <w:pPr>
              <w:spacing w:after="0"/>
              <w:rPr>
                <w:sz w:val="2"/>
                <w:szCs w:val="2"/>
                <w:color w:val="auto"/>
              </w:rPr>
            </w:pPr>
          </w:p>
        </w:tc>
        <w:tc>
          <w:tcPr>
            <w:tcW w:w="120" w:type="dxa"/>
            <w:vAlign w:val="bottom"/>
            <w:tcBorders>
              <w:bottom w:val="single" w:sz="8" w:color="123054"/>
              <w:right w:val="single" w:sz="8" w:color="123054"/>
            </w:tcBorders>
          </w:tcPr>
          <w:p>
            <w:pPr>
              <w:spacing w:after="0"/>
              <w:rPr>
                <w:sz w:val="2"/>
                <w:szCs w:val="2"/>
                <w:color w:val="auto"/>
              </w:rPr>
            </w:pPr>
          </w:p>
        </w:tc>
        <w:tc>
          <w:tcPr>
            <w:tcW w:w="940" w:type="dxa"/>
            <w:vAlign w:val="bottom"/>
            <w:tcBorders>
              <w:bottom w:val="single" w:sz="8" w:color="123054"/>
              <w:right w:val="single" w:sz="8" w:color="123054"/>
            </w:tcBorders>
          </w:tcPr>
          <w:p>
            <w:pPr>
              <w:spacing w:after="0"/>
              <w:rPr>
                <w:sz w:val="2"/>
                <w:szCs w:val="2"/>
                <w:color w:val="auto"/>
              </w:rPr>
            </w:pPr>
          </w:p>
        </w:tc>
        <w:tc>
          <w:tcPr>
            <w:tcW w:w="60" w:type="dxa"/>
            <w:vAlign w:val="bottom"/>
            <w:tcBorders>
              <w:bottom w:val="single" w:sz="8" w:color="123054"/>
            </w:tcBorders>
          </w:tcPr>
          <w:p>
            <w:pPr>
              <w:spacing w:after="0"/>
              <w:rPr>
                <w:sz w:val="2"/>
                <w:szCs w:val="2"/>
                <w:color w:val="auto"/>
              </w:rPr>
            </w:pPr>
          </w:p>
        </w:tc>
        <w:tc>
          <w:tcPr>
            <w:tcW w:w="940" w:type="dxa"/>
            <w:vAlign w:val="bottom"/>
            <w:tcBorders>
              <w:bottom w:val="single" w:sz="8" w:color="123054"/>
              <w:right w:val="single" w:sz="8" w:color="123054"/>
            </w:tcBorders>
          </w:tcPr>
          <w:p>
            <w:pPr>
              <w:spacing w:after="0"/>
              <w:rPr>
                <w:sz w:val="2"/>
                <w:szCs w:val="2"/>
                <w:color w:val="auto"/>
              </w:rPr>
            </w:pPr>
          </w:p>
        </w:tc>
        <w:tc>
          <w:tcPr>
            <w:tcW w:w="1000" w:type="dxa"/>
            <w:vAlign w:val="bottom"/>
            <w:tcBorders>
              <w:bottom w:val="single" w:sz="8" w:color="123054"/>
              <w:right w:val="single" w:sz="8" w:color="123054"/>
            </w:tcBorders>
          </w:tcPr>
          <w:p>
            <w:pPr>
              <w:spacing w:after="0"/>
              <w:rPr>
                <w:sz w:val="2"/>
                <w:szCs w:val="2"/>
                <w:color w:val="auto"/>
              </w:rPr>
            </w:pPr>
          </w:p>
        </w:tc>
        <w:tc>
          <w:tcPr>
            <w:tcW w:w="1060" w:type="dxa"/>
            <w:vAlign w:val="bottom"/>
            <w:tcBorders>
              <w:bottom w:val="single" w:sz="8" w:color="123054"/>
              <w:right w:val="single" w:sz="8" w:color="123054"/>
            </w:tcBorders>
          </w:tcPr>
          <w:p>
            <w:pPr>
              <w:spacing w:after="0"/>
              <w:rPr>
                <w:sz w:val="2"/>
                <w:szCs w:val="2"/>
                <w:color w:val="auto"/>
              </w:rPr>
            </w:pPr>
          </w:p>
        </w:tc>
        <w:tc>
          <w:tcPr>
            <w:tcW w:w="1000" w:type="dxa"/>
            <w:vAlign w:val="bottom"/>
            <w:tcBorders>
              <w:bottom w:val="single" w:sz="8" w:color="123054"/>
              <w:right w:val="single" w:sz="8" w:color="123054"/>
            </w:tcBorders>
          </w:tcPr>
          <w:p>
            <w:pPr>
              <w:spacing w:after="0"/>
              <w:rPr>
                <w:sz w:val="2"/>
                <w:szCs w:val="2"/>
                <w:color w:val="auto"/>
              </w:rPr>
            </w:pPr>
          </w:p>
        </w:tc>
        <w:tc>
          <w:tcPr>
            <w:tcW w:w="1160" w:type="dxa"/>
            <w:vAlign w:val="bottom"/>
            <w:tcBorders>
              <w:bottom w:val="single" w:sz="8" w:color="123054"/>
            </w:tcBorders>
          </w:tcPr>
          <w:p>
            <w:pPr>
              <w:spacing w:after="0"/>
              <w:rPr>
                <w:sz w:val="2"/>
                <w:szCs w:val="2"/>
                <w:color w:val="auto"/>
              </w:rPr>
            </w:pPr>
          </w:p>
        </w:tc>
      </w:tr>
    </w:tbl>
    <w:p>
      <w:pPr>
        <w:spacing w:after="0" w:line="185" w:lineRule="exact"/>
        <w:rPr>
          <w:sz w:val="20"/>
          <w:szCs w:val="20"/>
          <w:color w:val="auto"/>
        </w:rPr>
      </w:pPr>
    </w:p>
    <w:p>
      <w:pPr>
        <w:ind w:left="620" w:hanging="387"/>
        <w:spacing w:after="0" w:line="232" w:lineRule="auto"/>
        <w:tabs>
          <w:tab w:leader="none" w:pos="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dollar amounts reported in the column “Average Compensation Actually Paid to Non-PEO NEOs” (column (e)) represent the average amount of Compensation Actually Paid to thenon-CEO named executive officers (“Non-CEO NEOs”) as a group, as computed in accordance with Item 402(v) of Regulation S-K. The dollar amounts do not reflect the actual average amount of compensation earned by or paid to the Non-CEO NEOs during the applicable year. The Non-CEO NEOs reflected in columns (d) and (e) consist of the following individuals for each of the years shown: 2024—Richard Westenberger, Kendra Krugman, Allison Peterson, Raghu Sagi, and Brian Lynch; 2023—Richard Westenberger, Brian Lynch, Kendra Krugman, and Julie D'Emilio; 2022— Richard Westenberger, Brian Lynch, Patrick Moore, and Kendra Krugman; 2021—Richard Westenberger, Brian Lynch, Patrick Moore, and Peter Smith; 2020—</w:t>
      </w:r>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41738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417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right="220"/>
        <w:spacing w:after="0" w:line="230" w:lineRule="auto"/>
        <w:rPr>
          <w:sz w:val="20"/>
          <w:szCs w:val="20"/>
          <w:color w:val="auto"/>
        </w:rPr>
      </w:pPr>
      <w:r>
        <w:rPr>
          <w:rFonts w:ascii="Arial" w:cs="Arial" w:eastAsia="Arial" w:hAnsi="Arial"/>
          <w:sz w:val="13"/>
          <w:szCs w:val="13"/>
          <w:color w:val="auto"/>
        </w:rPr>
        <w:t>Richard Westenberger, Brian Lynch, Patrick Moore, and Peter Smith. To calculate Compensation Actually Paid to our Non-CEO NEOs for each of the years shown, the following amounts were deducted from and added to Summary Compensation Table total compensation.</w:t>
      </w:r>
    </w:p>
    <w:p>
      <w:pPr>
        <w:spacing w:after="0" w:line="307" w:lineRule="exact"/>
        <w:rPr>
          <w:sz w:val="20"/>
          <w:szCs w:val="20"/>
          <w:color w:val="auto"/>
        </w:rPr>
      </w:pPr>
    </w:p>
    <w:p>
      <w:pPr>
        <w:ind w:left="2660"/>
        <w:spacing w:after="0"/>
        <w:rPr>
          <w:sz w:val="20"/>
          <w:szCs w:val="20"/>
          <w:color w:val="auto"/>
        </w:rPr>
      </w:pPr>
      <w:r>
        <w:rPr>
          <w:rFonts w:ascii="Arial" w:cs="Arial" w:eastAsia="Arial" w:hAnsi="Arial"/>
          <w:sz w:val="13"/>
          <w:szCs w:val="13"/>
          <w:b w:val="1"/>
          <w:bCs w:val="1"/>
          <w:color w:val="FFFFFF"/>
        </w:rPr>
        <w:t>Average Non-PEO NEOs Summary Compensation Table Total to</w:t>
      </w:r>
    </w:p>
    <w:p>
      <w:pPr>
        <w:spacing w:after="0" w:line="11"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FFFFFF"/>
        </w:rPr>
        <w:t>Compensation Actually Paid Reconciliation*</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1000" w:type="dxa"/>
            <w:vAlign w:val="bottom"/>
            <w:tcBorders>
              <w:right w:val="single" w:sz="8" w:color="123054"/>
            </w:tcBorders>
          </w:tcPr>
          <w:p>
            <w:pPr>
              <w:spacing w:after="0"/>
              <w:rPr>
                <w:sz w:val="16"/>
                <w:szCs w:val="16"/>
                <w:color w:val="auto"/>
              </w:rPr>
            </w:pPr>
          </w:p>
        </w:tc>
        <w:tc>
          <w:tcPr>
            <w:tcW w:w="800" w:type="dxa"/>
            <w:vAlign w:val="bottom"/>
            <w:tcBorders>
              <w:right w:val="single" w:sz="8" w:color="123054"/>
            </w:tcBorders>
            <w:shd w:val="clear" w:color="auto" w:fill="123054"/>
          </w:tcPr>
          <w:p>
            <w:pPr>
              <w:spacing w:after="0"/>
              <w:rPr>
                <w:sz w:val="16"/>
                <w:szCs w:val="16"/>
                <w:color w:val="auto"/>
              </w:rPr>
            </w:pPr>
          </w:p>
        </w:tc>
        <w:tc>
          <w:tcPr>
            <w:tcW w:w="1980" w:type="dxa"/>
            <w:vAlign w:val="bottom"/>
            <w:tcBorders>
              <w:right w:val="single" w:sz="8" w:color="123054"/>
            </w:tcBorders>
            <w:shd w:val="clear" w:color="auto" w:fill="123054"/>
          </w:tcPr>
          <w:p>
            <w:pPr>
              <w:spacing w:after="0"/>
              <w:rPr>
                <w:sz w:val="16"/>
                <w:szCs w:val="16"/>
                <w:color w:val="auto"/>
              </w:rPr>
            </w:pPr>
          </w:p>
        </w:tc>
        <w:tc>
          <w:tcPr>
            <w:tcW w:w="2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8"/>
              </w:rPr>
              <w:t>Deductions</w:t>
            </w:r>
          </w:p>
        </w:tc>
        <w:tc>
          <w:tcPr>
            <w:tcW w:w="1400" w:type="dxa"/>
            <w:vAlign w:val="bottom"/>
            <w:tcBorders>
              <w:right w:val="single" w:sz="8" w:color="123054"/>
            </w:tcBorders>
            <w:shd w:val="clear" w:color="auto" w:fill="123054"/>
          </w:tcPr>
          <w:p>
            <w:pPr>
              <w:spacing w:after="0"/>
              <w:rPr>
                <w:sz w:val="16"/>
                <w:szCs w:val="16"/>
                <w:color w:val="auto"/>
              </w:rPr>
            </w:pPr>
          </w:p>
        </w:tc>
        <w:tc>
          <w:tcPr>
            <w:tcW w:w="1060" w:type="dxa"/>
            <w:vAlign w:val="bottom"/>
            <w:shd w:val="clear" w:color="auto" w:fill="123054"/>
          </w:tcPr>
          <w:p>
            <w:pPr>
              <w:spacing w:after="0"/>
              <w:rPr>
                <w:sz w:val="16"/>
                <w:szCs w:val="16"/>
                <w:color w:val="auto"/>
              </w:rPr>
            </w:pPr>
          </w:p>
        </w:tc>
      </w:tr>
      <w:tr>
        <w:trPr>
          <w:trHeight w:val="148"/>
        </w:trPr>
        <w:tc>
          <w:tcPr>
            <w:tcW w:w="1000" w:type="dxa"/>
            <w:vAlign w:val="bottom"/>
            <w:tcBorders>
              <w:right w:val="single" w:sz="8" w:color="123054"/>
            </w:tcBorders>
          </w:tcPr>
          <w:p>
            <w:pPr>
              <w:spacing w:after="0"/>
              <w:rPr>
                <w:sz w:val="12"/>
                <w:szCs w:val="12"/>
                <w:color w:val="auto"/>
              </w:rPr>
            </w:pPr>
          </w:p>
        </w:tc>
        <w:tc>
          <w:tcPr>
            <w:tcW w:w="800" w:type="dxa"/>
            <w:vAlign w:val="bottom"/>
            <w:tcBorders>
              <w:right w:val="single" w:sz="8" w:color="123054"/>
            </w:tcBorders>
            <w:shd w:val="clear" w:color="auto" w:fill="123054"/>
          </w:tcPr>
          <w:p>
            <w:pPr>
              <w:spacing w:after="0"/>
              <w:rPr>
                <w:sz w:val="12"/>
                <w:szCs w:val="12"/>
                <w:color w:val="auto"/>
              </w:rPr>
            </w:pPr>
          </w:p>
        </w:tc>
        <w:tc>
          <w:tcPr>
            <w:tcW w:w="1980" w:type="dxa"/>
            <w:vAlign w:val="bottom"/>
            <w:tcBorders>
              <w:right w:val="single" w:sz="8" w:color="123054"/>
            </w:tcBorders>
            <w:shd w:val="clear" w:color="auto" w:fill="123054"/>
          </w:tcPr>
          <w:p>
            <w:pPr>
              <w:spacing w:after="0"/>
              <w:rPr>
                <w:sz w:val="12"/>
                <w:szCs w:val="12"/>
                <w:color w:val="auto"/>
              </w:rPr>
            </w:pPr>
          </w:p>
        </w:tc>
        <w:tc>
          <w:tcPr>
            <w:tcW w:w="2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6"/>
              </w:rPr>
              <w:t>from Summary Compensation</w:t>
            </w:r>
          </w:p>
        </w:tc>
        <w:tc>
          <w:tcPr>
            <w:tcW w:w="14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3"/>
              </w:rPr>
              <w:t>Equity</w:t>
            </w:r>
          </w:p>
        </w:tc>
        <w:tc>
          <w:tcPr>
            <w:tcW w:w="1060" w:type="dxa"/>
            <w:vAlign w:val="bottom"/>
            <w:shd w:val="clear" w:color="auto" w:fill="123054"/>
          </w:tcPr>
          <w:p>
            <w:pPr>
              <w:spacing w:after="0"/>
              <w:rPr>
                <w:sz w:val="12"/>
                <w:szCs w:val="12"/>
                <w:color w:val="auto"/>
              </w:rPr>
            </w:pPr>
          </w:p>
        </w:tc>
      </w:tr>
      <w:tr>
        <w:trPr>
          <w:trHeight w:val="149"/>
        </w:trPr>
        <w:tc>
          <w:tcPr>
            <w:tcW w:w="1000" w:type="dxa"/>
            <w:vAlign w:val="bottom"/>
            <w:tcBorders>
              <w:right w:val="single" w:sz="8" w:color="123054"/>
            </w:tcBorders>
          </w:tcPr>
          <w:p>
            <w:pPr>
              <w:spacing w:after="0"/>
              <w:rPr>
                <w:sz w:val="12"/>
                <w:szCs w:val="12"/>
                <w:color w:val="auto"/>
              </w:rPr>
            </w:pPr>
          </w:p>
        </w:tc>
        <w:tc>
          <w:tcPr>
            <w:tcW w:w="800" w:type="dxa"/>
            <w:vAlign w:val="bottom"/>
            <w:tcBorders>
              <w:right w:val="single" w:sz="8" w:color="123054"/>
            </w:tcBorders>
            <w:shd w:val="clear" w:color="auto" w:fill="123054"/>
          </w:tcPr>
          <w:p>
            <w:pPr>
              <w:spacing w:after="0"/>
              <w:rPr>
                <w:sz w:val="12"/>
                <w:szCs w:val="12"/>
                <w:color w:val="auto"/>
              </w:rPr>
            </w:pPr>
          </w:p>
        </w:tc>
        <w:tc>
          <w:tcPr>
            <w:tcW w:w="198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Summary Compensation Table</w:t>
            </w:r>
          </w:p>
        </w:tc>
        <w:tc>
          <w:tcPr>
            <w:tcW w:w="20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2"/>
              </w:rPr>
              <w:t>Table</w:t>
            </w:r>
          </w:p>
        </w:tc>
        <w:tc>
          <w:tcPr>
            <w:tcW w:w="1400" w:type="dxa"/>
            <w:vAlign w:val="bottom"/>
            <w:tcBorders>
              <w:right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2"/>
              </w:rPr>
              <w:t>Award</w:t>
            </w:r>
          </w:p>
        </w:tc>
        <w:tc>
          <w:tcPr>
            <w:tcW w:w="106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97"/>
              </w:rPr>
              <w:t>Compensation</w:t>
            </w:r>
          </w:p>
        </w:tc>
      </w:tr>
      <w:tr>
        <w:trPr>
          <w:trHeight w:val="180"/>
        </w:trPr>
        <w:tc>
          <w:tcPr>
            <w:tcW w:w="1000" w:type="dxa"/>
            <w:vAlign w:val="bottom"/>
            <w:tcBorders>
              <w:bottom w:val="single" w:sz="8" w:color="123054"/>
              <w:right w:val="single" w:sz="8" w:color="123054"/>
            </w:tcBorders>
          </w:tcPr>
          <w:p>
            <w:pPr>
              <w:jc w:val="right"/>
              <w:ind w:right="617"/>
              <w:spacing w:after="0"/>
              <w:rPr>
                <w:sz w:val="20"/>
                <w:szCs w:val="20"/>
                <w:color w:val="auto"/>
              </w:rPr>
            </w:pPr>
            <w:r>
              <w:rPr>
                <w:rFonts w:ascii="Arial" w:cs="Arial" w:eastAsia="Arial" w:hAnsi="Arial"/>
                <w:sz w:val="13"/>
                <w:szCs w:val="13"/>
                <w:b w:val="1"/>
                <w:bCs w:val="1"/>
                <w:color w:val="FFFFFF"/>
              </w:rPr>
              <w:t>Year</w:t>
            </w:r>
          </w:p>
        </w:tc>
        <w:tc>
          <w:tcPr>
            <w:tcW w:w="800" w:type="dxa"/>
            <w:vAlign w:val="bottom"/>
            <w:tcBorders>
              <w:bottom w:val="single" w:sz="8" w:color="123054"/>
              <w:right w:val="single" w:sz="8" w:color="123054"/>
            </w:tcBorders>
            <w:shd w:val="clear" w:color="auto" w:fill="123054"/>
          </w:tcPr>
          <w:p>
            <w:pPr>
              <w:spacing w:after="0"/>
              <w:rPr>
                <w:sz w:val="15"/>
                <w:szCs w:val="15"/>
                <w:color w:val="auto"/>
              </w:rPr>
            </w:pPr>
          </w:p>
        </w:tc>
        <w:tc>
          <w:tcPr>
            <w:tcW w:w="1980" w:type="dxa"/>
            <w:vAlign w:val="bottom"/>
            <w:tcBorders>
              <w:bottom w:val="single" w:sz="8" w:color="123054"/>
              <w:right w:val="single" w:sz="8" w:color="123054"/>
            </w:tcBorders>
            <w:shd w:val="clear" w:color="auto" w:fill="123054"/>
          </w:tcPr>
          <w:p>
            <w:pPr>
              <w:ind w:left="840"/>
              <w:spacing w:after="0"/>
              <w:rPr>
                <w:sz w:val="20"/>
                <w:szCs w:val="20"/>
                <w:color w:val="auto"/>
              </w:rPr>
            </w:pPr>
            <w:r>
              <w:rPr>
                <w:rFonts w:ascii="Arial" w:cs="Arial" w:eastAsia="Arial" w:hAnsi="Arial"/>
                <w:sz w:val="13"/>
                <w:szCs w:val="13"/>
                <w:color w:val="FFFFFF"/>
              </w:rPr>
              <w:t>Total</w:t>
            </w:r>
          </w:p>
        </w:tc>
        <w:tc>
          <w:tcPr>
            <w:tcW w:w="2000" w:type="dxa"/>
            <w:vAlign w:val="bottom"/>
            <w:tcBorders>
              <w:bottom w:val="single" w:sz="8" w:color="123054"/>
              <w:right w:val="single" w:sz="8" w:color="123054"/>
            </w:tcBorders>
            <w:shd w:val="clear" w:color="auto" w:fill="123054"/>
          </w:tcPr>
          <w:p>
            <w:pPr>
              <w:jc w:val="center"/>
              <w:spacing w:after="0" w:line="180" w:lineRule="exact"/>
              <w:rPr>
                <w:sz w:val="20"/>
                <w:szCs w:val="20"/>
                <w:color w:val="auto"/>
              </w:rPr>
            </w:pPr>
            <w:r>
              <w:rPr>
                <w:rFonts w:ascii="Arial" w:cs="Arial" w:eastAsia="Arial" w:hAnsi="Arial"/>
                <w:sz w:val="13"/>
                <w:szCs w:val="13"/>
                <w:color w:val="FFFFFF"/>
                <w:w w:val="88"/>
              </w:rPr>
              <w:t>Total</w:t>
            </w:r>
            <w:r>
              <w:rPr>
                <w:rFonts w:ascii="Arial" w:cs="Arial" w:eastAsia="Arial" w:hAnsi="Arial"/>
                <w:sz w:val="16"/>
                <w:szCs w:val="16"/>
                <w:color w:val="FFFFFF"/>
                <w:w w:val="88"/>
                <w:vertAlign w:val="superscript"/>
              </w:rPr>
              <w:t>(i)</w:t>
            </w:r>
          </w:p>
        </w:tc>
        <w:tc>
          <w:tcPr>
            <w:tcW w:w="1400" w:type="dxa"/>
            <w:vAlign w:val="bottom"/>
            <w:tcBorders>
              <w:bottom w:val="single" w:sz="8" w:color="123054"/>
              <w:right w:val="single" w:sz="8" w:color="123054"/>
            </w:tcBorders>
            <w:shd w:val="clear" w:color="auto" w:fill="123054"/>
          </w:tcPr>
          <w:p>
            <w:pPr>
              <w:jc w:val="center"/>
              <w:spacing w:after="0" w:line="180" w:lineRule="exact"/>
              <w:rPr>
                <w:sz w:val="20"/>
                <w:szCs w:val="20"/>
                <w:color w:val="auto"/>
              </w:rPr>
            </w:pPr>
            <w:r>
              <w:rPr>
                <w:rFonts w:ascii="Arial" w:cs="Arial" w:eastAsia="Arial" w:hAnsi="Arial"/>
                <w:sz w:val="13"/>
                <w:szCs w:val="13"/>
                <w:color w:val="FFFFFF"/>
                <w:w w:val="91"/>
              </w:rPr>
              <w:t>Adjustments</w:t>
            </w:r>
            <w:r>
              <w:rPr>
                <w:rFonts w:ascii="Arial" w:cs="Arial" w:eastAsia="Arial" w:hAnsi="Arial"/>
                <w:sz w:val="16"/>
                <w:szCs w:val="16"/>
                <w:color w:val="FFFFFF"/>
                <w:w w:val="91"/>
                <w:vertAlign w:val="superscript"/>
              </w:rPr>
              <w:t>(ii)</w:t>
            </w:r>
          </w:p>
        </w:tc>
        <w:tc>
          <w:tcPr>
            <w:tcW w:w="1060" w:type="dxa"/>
            <w:vAlign w:val="bottom"/>
            <w:tcBorders>
              <w:bottom w:val="single" w:sz="8" w:color="123054"/>
            </w:tcBorders>
            <w:shd w:val="clear" w:color="auto" w:fill="123054"/>
          </w:tcPr>
          <w:p>
            <w:pPr>
              <w:jc w:val="center"/>
              <w:spacing w:after="0"/>
              <w:rPr>
                <w:sz w:val="20"/>
                <w:szCs w:val="20"/>
                <w:color w:val="auto"/>
              </w:rPr>
            </w:pPr>
            <w:r>
              <w:rPr>
                <w:rFonts w:ascii="Arial" w:cs="Arial" w:eastAsia="Arial" w:hAnsi="Arial"/>
                <w:sz w:val="13"/>
                <w:szCs w:val="13"/>
                <w:color w:val="FFFFFF"/>
                <w:w w:val="95"/>
              </w:rPr>
              <w:t>Actually Paid</w:t>
            </w:r>
          </w:p>
        </w:tc>
      </w:tr>
      <w:tr>
        <w:trPr>
          <w:trHeight w:val="176"/>
        </w:trPr>
        <w:tc>
          <w:tcPr>
            <w:tcW w:w="1000" w:type="dxa"/>
            <w:vAlign w:val="bottom"/>
            <w:tcBorders>
              <w:right w:val="single" w:sz="8" w:color="123054"/>
            </w:tcBorders>
          </w:tcPr>
          <w:p>
            <w:pPr>
              <w:jc w:val="right"/>
              <w:ind w:right="537"/>
              <w:spacing w:after="0"/>
              <w:rPr>
                <w:sz w:val="20"/>
                <w:szCs w:val="20"/>
                <w:color w:val="auto"/>
              </w:rPr>
            </w:pPr>
            <w:r>
              <w:rPr>
                <w:rFonts w:ascii="Arial" w:cs="Arial" w:eastAsia="Arial" w:hAnsi="Arial"/>
                <w:sz w:val="13"/>
                <w:szCs w:val="13"/>
                <w:color w:val="auto"/>
              </w:rPr>
              <w:t>2024</w:t>
            </w:r>
          </w:p>
        </w:tc>
        <w:tc>
          <w:tcPr>
            <w:tcW w:w="800" w:type="dxa"/>
            <w:vAlign w:val="bottom"/>
            <w:tcBorders>
              <w:right w:val="single" w:sz="8" w:color="123054"/>
            </w:tcBorders>
          </w:tcPr>
          <w:p>
            <w:pPr>
              <w:spacing w:after="0"/>
              <w:rPr>
                <w:sz w:val="15"/>
                <w:szCs w:val="15"/>
                <w:color w:val="auto"/>
              </w:rPr>
            </w:pPr>
          </w:p>
        </w:tc>
        <w:tc>
          <w:tcPr>
            <w:tcW w:w="19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8"/>
              </w:rPr>
              <w:t>$2,242,388</w:t>
            </w:r>
          </w:p>
        </w:tc>
        <w:tc>
          <w:tcPr>
            <w:tcW w:w="2000" w:type="dxa"/>
            <w:vAlign w:val="bottom"/>
            <w:tcBorders>
              <w:right w:val="single" w:sz="8" w:color="123054"/>
            </w:tcBorders>
          </w:tcPr>
          <w:p>
            <w:pPr>
              <w:jc w:val="center"/>
              <w:ind w:left="17"/>
              <w:spacing w:after="0"/>
              <w:rPr>
                <w:sz w:val="20"/>
                <w:szCs w:val="20"/>
                <w:color w:val="auto"/>
              </w:rPr>
            </w:pPr>
            <w:r>
              <w:rPr>
                <w:rFonts w:ascii="Arial" w:cs="Arial" w:eastAsia="Arial" w:hAnsi="Arial"/>
                <w:sz w:val="13"/>
                <w:szCs w:val="13"/>
                <w:color w:val="auto"/>
                <w:w w:val="97"/>
              </w:rPr>
              <w:t>$(1,680,057)</w:t>
            </w:r>
          </w:p>
        </w:tc>
        <w:tc>
          <w:tcPr>
            <w:tcW w:w="1400" w:type="dxa"/>
            <w:vAlign w:val="bottom"/>
            <w:tcBorders>
              <w:right w:val="single" w:sz="8" w:color="123054"/>
            </w:tcBorders>
          </w:tcPr>
          <w:p>
            <w:pPr>
              <w:jc w:val="right"/>
              <w:ind w:right="397"/>
              <w:spacing w:after="0"/>
              <w:rPr>
                <w:sz w:val="20"/>
                <w:szCs w:val="20"/>
                <w:color w:val="auto"/>
              </w:rPr>
            </w:pPr>
            <w:r>
              <w:rPr>
                <w:rFonts w:ascii="Arial" w:cs="Arial" w:eastAsia="Arial" w:hAnsi="Arial"/>
                <w:sz w:val="13"/>
                <w:szCs w:val="13"/>
                <w:color w:val="auto"/>
              </w:rPr>
              <w:t>$24,259</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$586,590</w:t>
            </w:r>
          </w:p>
        </w:tc>
      </w:tr>
      <w:tr>
        <w:trPr>
          <w:trHeight w:val="209"/>
        </w:trPr>
        <w:tc>
          <w:tcPr>
            <w:tcW w:w="1000" w:type="dxa"/>
            <w:vAlign w:val="bottom"/>
            <w:tcBorders>
              <w:right w:val="single" w:sz="8" w:color="123054"/>
            </w:tcBorders>
            <w:shd w:val="clear" w:color="auto" w:fill="DBDBDB"/>
          </w:tcPr>
          <w:p>
            <w:pPr>
              <w:jc w:val="right"/>
              <w:ind w:right="537"/>
              <w:spacing w:after="0"/>
              <w:rPr>
                <w:sz w:val="20"/>
                <w:szCs w:val="20"/>
                <w:color w:val="auto"/>
              </w:rPr>
            </w:pPr>
            <w:r>
              <w:rPr>
                <w:rFonts w:ascii="Arial" w:cs="Arial" w:eastAsia="Arial" w:hAnsi="Arial"/>
                <w:sz w:val="13"/>
                <w:szCs w:val="13"/>
                <w:color w:val="auto"/>
              </w:rPr>
              <w:t>2023</w:t>
            </w:r>
          </w:p>
        </w:tc>
        <w:tc>
          <w:tcPr>
            <w:tcW w:w="800" w:type="dxa"/>
            <w:vAlign w:val="bottom"/>
            <w:tcBorders>
              <w:right w:val="single" w:sz="8" w:color="123054"/>
            </w:tcBorders>
            <w:shd w:val="clear" w:color="auto" w:fill="DBDBDB"/>
          </w:tcPr>
          <w:p>
            <w:pPr>
              <w:spacing w:after="0"/>
              <w:rPr>
                <w:sz w:val="18"/>
                <w:szCs w:val="18"/>
                <w:color w:val="auto"/>
              </w:rPr>
            </w:pPr>
          </w:p>
        </w:tc>
        <w:tc>
          <w:tcPr>
            <w:tcW w:w="19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3,061,079</w:t>
            </w:r>
          </w:p>
        </w:tc>
        <w:tc>
          <w:tcPr>
            <w:tcW w:w="2000" w:type="dxa"/>
            <w:vAlign w:val="bottom"/>
            <w:tcBorders>
              <w:right w:val="single" w:sz="8" w:color="123054"/>
            </w:tcBorders>
            <w:shd w:val="clear" w:color="auto" w:fill="DBDBDB"/>
          </w:tcPr>
          <w:p>
            <w:pPr>
              <w:jc w:val="center"/>
              <w:ind w:left="17"/>
              <w:spacing w:after="0"/>
              <w:rPr>
                <w:sz w:val="20"/>
                <w:szCs w:val="20"/>
                <w:color w:val="auto"/>
              </w:rPr>
            </w:pPr>
            <w:r>
              <w:rPr>
                <w:rFonts w:ascii="Arial" w:cs="Arial" w:eastAsia="Arial" w:hAnsi="Arial"/>
                <w:sz w:val="13"/>
                <w:szCs w:val="13"/>
                <w:color w:val="auto"/>
                <w:w w:val="96"/>
              </w:rPr>
              <w:t>(1,662,929)</w:t>
            </w:r>
          </w:p>
        </w:tc>
        <w:tc>
          <w:tcPr>
            <w:tcW w:w="1400" w:type="dxa"/>
            <w:vAlign w:val="bottom"/>
            <w:tcBorders>
              <w:right w:val="single" w:sz="8" w:color="123054"/>
            </w:tcBorders>
            <w:shd w:val="clear" w:color="auto" w:fill="DBDBDB"/>
          </w:tcPr>
          <w:p>
            <w:pPr>
              <w:jc w:val="right"/>
              <w:ind w:right="337"/>
              <w:spacing w:after="0"/>
              <w:rPr>
                <w:sz w:val="20"/>
                <w:szCs w:val="20"/>
                <w:color w:val="auto"/>
              </w:rPr>
            </w:pPr>
            <w:r>
              <w:rPr>
                <w:rFonts w:ascii="Arial" w:cs="Arial" w:eastAsia="Arial" w:hAnsi="Arial"/>
                <w:sz w:val="13"/>
                <w:szCs w:val="13"/>
                <w:color w:val="auto"/>
              </w:rPr>
              <w:t>1,226,317</w:t>
            </w:r>
          </w:p>
        </w:tc>
        <w:tc>
          <w:tcPr>
            <w:tcW w:w="10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2,624,467</w:t>
            </w:r>
          </w:p>
        </w:tc>
      </w:tr>
      <w:tr>
        <w:trPr>
          <w:trHeight w:val="196"/>
        </w:trPr>
        <w:tc>
          <w:tcPr>
            <w:tcW w:w="1000" w:type="dxa"/>
            <w:vAlign w:val="bottom"/>
            <w:tcBorders>
              <w:right w:val="single" w:sz="8" w:color="123054"/>
            </w:tcBorders>
          </w:tcPr>
          <w:p>
            <w:pPr>
              <w:jc w:val="right"/>
              <w:ind w:right="537"/>
              <w:spacing w:after="0"/>
              <w:rPr>
                <w:sz w:val="20"/>
                <w:szCs w:val="20"/>
                <w:color w:val="auto"/>
              </w:rPr>
            </w:pPr>
            <w:r>
              <w:rPr>
                <w:rFonts w:ascii="Arial" w:cs="Arial" w:eastAsia="Arial" w:hAnsi="Arial"/>
                <w:sz w:val="13"/>
                <w:szCs w:val="13"/>
                <w:color w:val="auto"/>
              </w:rPr>
              <w:t>2022</w:t>
            </w:r>
          </w:p>
        </w:tc>
        <w:tc>
          <w:tcPr>
            <w:tcW w:w="800" w:type="dxa"/>
            <w:vAlign w:val="bottom"/>
            <w:tcBorders>
              <w:right w:val="single" w:sz="8" w:color="123054"/>
            </w:tcBorders>
          </w:tcPr>
          <w:p>
            <w:pPr>
              <w:spacing w:after="0"/>
              <w:rPr>
                <w:sz w:val="17"/>
                <w:szCs w:val="17"/>
                <w:color w:val="auto"/>
              </w:rPr>
            </w:pPr>
          </w:p>
        </w:tc>
        <w:tc>
          <w:tcPr>
            <w:tcW w:w="1980" w:type="dxa"/>
            <w:vAlign w:val="bottom"/>
            <w:tcBorders>
              <w:right w:val="single" w:sz="8" w:color="123054"/>
            </w:tcBorders>
          </w:tcPr>
          <w:p>
            <w:pPr>
              <w:jc w:val="center"/>
              <w:spacing w:after="0"/>
              <w:rPr>
                <w:sz w:val="20"/>
                <w:szCs w:val="20"/>
                <w:color w:val="auto"/>
              </w:rPr>
            </w:pPr>
            <w:r>
              <w:rPr>
                <w:rFonts w:ascii="Arial" w:cs="Arial" w:eastAsia="Arial" w:hAnsi="Arial"/>
                <w:sz w:val="13"/>
                <w:szCs w:val="13"/>
                <w:color w:val="auto"/>
                <w:w w:val="96"/>
              </w:rPr>
              <w:t>2,264,230</w:t>
            </w:r>
          </w:p>
        </w:tc>
        <w:tc>
          <w:tcPr>
            <w:tcW w:w="2000" w:type="dxa"/>
            <w:vAlign w:val="bottom"/>
            <w:tcBorders>
              <w:right w:val="single" w:sz="8" w:color="123054"/>
            </w:tcBorders>
          </w:tcPr>
          <w:p>
            <w:pPr>
              <w:jc w:val="center"/>
              <w:ind w:left="17"/>
              <w:spacing w:after="0"/>
              <w:rPr>
                <w:sz w:val="20"/>
                <w:szCs w:val="20"/>
                <w:color w:val="auto"/>
              </w:rPr>
            </w:pPr>
            <w:r>
              <w:rPr>
                <w:rFonts w:ascii="Arial" w:cs="Arial" w:eastAsia="Arial" w:hAnsi="Arial"/>
                <w:sz w:val="13"/>
                <w:szCs w:val="13"/>
                <w:color w:val="auto"/>
                <w:w w:val="96"/>
              </w:rPr>
              <w:t>(1,313,039)</w:t>
            </w:r>
          </w:p>
        </w:tc>
        <w:tc>
          <w:tcPr>
            <w:tcW w:w="1400" w:type="dxa"/>
            <w:vAlign w:val="bottom"/>
            <w:tcBorders>
              <w:right w:val="single" w:sz="8" w:color="123054"/>
            </w:tcBorders>
          </w:tcPr>
          <w:p>
            <w:pPr>
              <w:jc w:val="right"/>
              <w:ind w:right="397"/>
              <w:spacing w:after="0"/>
              <w:rPr>
                <w:sz w:val="20"/>
                <w:szCs w:val="20"/>
                <w:color w:val="auto"/>
              </w:rPr>
            </w:pPr>
            <w:r>
              <w:rPr>
                <w:rFonts w:ascii="Arial" w:cs="Arial" w:eastAsia="Arial" w:hAnsi="Arial"/>
                <w:sz w:val="13"/>
                <w:szCs w:val="13"/>
                <w:color w:val="auto"/>
              </w:rPr>
              <w:t>667,866</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1,619,056</w:t>
            </w:r>
          </w:p>
        </w:tc>
      </w:tr>
      <w:tr>
        <w:trPr>
          <w:trHeight w:val="209"/>
        </w:trPr>
        <w:tc>
          <w:tcPr>
            <w:tcW w:w="1000" w:type="dxa"/>
            <w:vAlign w:val="bottom"/>
            <w:tcBorders>
              <w:right w:val="single" w:sz="8" w:color="123054"/>
            </w:tcBorders>
            <w:shd w:val="clear" w:color="auto" w:fill="DBDBDB"/>
          </w:tcPr>
          <w:p>
            <w:pPr>
              <w:jc w:val="right"/>
              <w:ind w:right="537"/>
              <w:spacing w:after="0"/>
              <w:rPr>
                <w:sz w:val="20"/>
                <w:szCs w:val="20"/>
                <w:color w:val="auto"/>
              </w:rPr>
            </w:pPr>
            <w:r>
              <w:rPr>
                <w:rFonts w:ascii="Arial" w:cs="Arial" w:eastAsia="Arial" w:hAnsi="Arial"/>
                <w:sz w:val="13"/>
                <w:szCs w:val="13"/>
                <w:color w:val="auto"/>
              </w:rPr>
              <w:t>2021</w:t>
            </w:r>
          </w:p>
        </w:tc>
        <w:tc>
          <w:tcPr>
            <w:tcW w:w="800" w:type="dxa"/>
            <w:vAlign w:val="bottom"/>
            <w:tcBorders>
              <w:right w:val="single" w:sz="8" w:color="123054"/>
            </w:tcBorders>
            <w:shd w:val="clear" w:color="auto" w:fill="DBDBDB"/>
          </w:tcPr>
          <w:p>
            <w:pPr>
              <w:spacing w:after="0"/>
              <w:rPr>
                <w:sz w:val="18"/>
                <w:szCs w:val="18"/>
                <w:color w:val="auto"/>
              </w:rPr>
            </w:pPr>
          </w:p>
        </w:tc>
        <w:tc>
          <w:tcPr>
            <w:tcW w:w="1980" w:type="dxa"/>
            <w:vAlign w:val="bottom"/>
            <w:tcBorders>
              <w:right w:val="single" w:sz="8" w:color="123054"/>
            </w:tcBorders>
            <w:shd w:val="clear" w:color="auto" w:fill="DBDBDB"/>
          </w:tcPr>
          <w:p>
            <w:pPr>
              <w:jc w:val="center"/>
              <w:spacing w:after="0"/>
              <w:rPr>
                <w:sz w:val="20"/>
                <w:szCs w:val="20"/>
                <w:color w:val="auto"/>
              </w:rPr>
            </w:pPr>
            <w:r>
              <w:rPr>
                <w:rFonts w:ascii="Arial" w:cs="Arial" w:eastAsia="Arial" w:hAnsi="Arial"/>
                <w:sz w:val="13"/>
                <w:szCs w:val="13"/>
                <w:color w:val="auto"/>
                <w:w w:val="96"/>
              </w:rPr>
              <w:t>3,801,288</w:t>
            </w:r>
          </w:p>
        </w:tc>
        <w:tc>
          <w:tcPr>
            <w:tcW w:w="2000" w:type="dxa"/>
            <w:vAlign w:val="bottom"/>
            <w:tcBorders>
              <w:right w:val="single" w:sz="8" w:color="123054"/>
            </w:tcBorders>
            <w:shd w:val="clear" w:color="auto" w:fill="DBDBDB"/>
          </w:tcPr>
          <w:p>
            <w:pPr>
              <w:jc w:val="center"/>
              <w:ind w:left="17"/>
              <w:spacing w:after="0"/>
              <w:rPr>
                <w:sz w:val="20"/>
                <w:szCs w:val="20"/>
                <w:color w:val="auto"/>
              </w:rPr>
            </w:pPr>
            <w:r>
              <w:rPr>
                <w:rFonts w:ascii="Arial" w:cs="Arial" w:eastAsia="Arial" w:hAnsi="Arial"/>
                <w:sz w:val="13"/>
                <w:szCs w:val="13"/>
                <w:color w:val="auto"/>
                <w:w w:val="96"/>
              </w:rPr>
              <w:t>(1,987,866)</w:t>
            </w:r>
          </w:p>
        </w:tc>
        <w:tc>
          <w:tcPr>
            <w:tcW w:w="1400" w:type="dxa"/>
            <w:vAlign w:val="bottom"/>
            <w:tcBorders>
              <w:right w:val="single" w:sz="8" w:color="123054"/>
            </w:tcBorders>
            <w:shd w:val="clear" w:color="auto" w:fill="DBDBDB"/>
          </w:tcPr>
          <w:p>
            <w:pPr>
              <w:jc w:val="right"/>
              <w:ind w:right="337"/>
              <w:spacing w:after="0"/>
              <w:rPr>
                <w:sz w:val="20"/>
                <w:szCs w:val="20"/>
                <w:color w:val="auto"/>
              </w:rPr>
            </w:pPr>
            <w:r>
              <w:rPr>
                <w:rFonts w:ascii="Arial" w:cs="Arial" w:eastAsia="Arial" w:hAnsi="Arial"/>
                <w:sz w:val="13"/>
                <w:szCs w:val="13"/>
                <w:color w:val="auto"/>
              </w:rPr>
              <w:t>2,436,014</w:t>
            </w:r>
          </w:p>
        </w:tc>
        <w:tc>
          <w:tcPr>
            <w:tcW w:w="10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4,249,437</w:t>
            </w:r>
          </w:p>
        </w:tc>
      </w:tr>
      <w:tr>
        <w:trPr>
          <w:trHeight w:val="196"/>
        </w:trPr>
        <w:tc>
          <w:tcPr>
            <w:tcW w:w="1000" w:type="dxa"/>
            <w:vAlign w:val="bottom"/>
            <w:tcBorders>
              <w:bottom w:val="single" w:sz="8" w:color="123054"/>
              <w:right w:val="single" w:sz="8" w:color="123054"/>
            </w:tcBorders>
          </w:tcPr>
          <w:p>
            <w:pPr>
              <w:jc w:val="right"/>
              <w:ind w:right="537"/>
              <w:spacing w:after="0"/>
              <w:rPr>
                <w:sz w:val="20"/>
                <w:szCs w:val="20"/>
                <w:color w:val="auto"/>
              </w:rPr>
            </w:pPr>
            <w:r>
              <w:rPr>
                <w:rFonts w:ascii="Arial" w:cs="Arial" w:eastAsia="Arial" w:hAnsi="Arial"/>
                <w:sz w:val="13"/>
                <w:szCs w:val="13"/>
                <w:color w:val="auto"/>
              </w:rPr>
              <w:t>2020</w:t>
            </w:r>
          </w:p>
        </w:tc>
        <w:tc>
          <w:tcPr>
            <w:tcW w:w="800" w:type="dxa"/>
            <w:vAlign w:val="bottom"/>
            <w:tcBorders>
              <w:bottom w:val="single" w:sz="8" w:color="123054"/>
              <w:right w:val="single" w:sz="8" w:color="123054"/>
            </w:tcBorders>
          </w:tcPr>
          <w:p>
            <w:pPr>
              <w:spacing w:after="0"/>
              <w:rPr>
                <w:sz w:val="17"/>
                <w:szCs w:val="17"/>
                <w:color w:val="auto"/>
              </w:rPr>
            </w:pPr>
          </w:p>
        </w:tc>
        <w:tc>
          <w:tcPr>
            <w:tcW w:w="198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3"/>
                <w:szCs w:val="13"/>
                <w:color w:val="auto"/>
                <w:w w:val="96"/>
              </w:rPr>
              <w:t>1,648,590</w:t>
            </w:r>
          </w:p>
        </w:tc>
        <w:tc>
          <w:tcPr>
            <w:tcW w:w="2000" w:type="dxa"/>
            <w:vAlign w:val="bottom"/>
            <w:tcBorders>
              <w:bottom w:val="single" w:sz="8" w:color="123054"/>
              <w:right w:val="single" w:sz="8" w:color="123054"/>
            </w:tcBorders>
          </w:tcPr>
          <w:p>
            <w:pPr>
              <w:jc w:val="center"/>
              <w:spacing w:after="0"/>
              <w:rPr>
                <w:sz w:val="20"/>
                <w:szCs w:val="20"/>
                <w:color w:val="auto"/>
              </w:rPr>
            </w:pPr>
            <w:r>
              <w:rPr>
                <w:rFonts w:ascii="Arial" w:cs="Arial" w:eastAsia="Arial" w:hAnsi="Arial"/>
                <w:sz w:val="13"/>
                <w:szCs w:val="13"/>
                <w:color w:val="auto"/>
                <w:w w:val="96"/>
              </w:rPr>
              <w:t>(887,992)</w:t>
            </w:r>
          </w:p>
        </w:tc>
        <w:tc>
          <w:tcPr>
            <w:tcW w:w="1400" w:type="dxa"/>
            <w:vAlign w:val="bottom"/>
            <w:tcBorders>
              <w:bottom w:val="single" w:sz="8" w:color="123054"/>
              <w:right w:val="single" w:sz="8" w:color="123054"/>
            </w:tcBorders>
          </w:tcPr>
          <w:p>
            <w:pPr>
              <w:jc w:val="right"/>
              <w:ind w:right="337"/>
              <w:spacing w:after="0"/>
              <w:rPr>
                <w:sz w:val="20"/>
                <w:szCs w:val="20"/>
                <w:color w:val="auto"/>
              </w:rPr>
            </w:pPr>
            <w:r>
              <w:rPr>
                <w:rFonts w:ascii="Arial" w:cs="Arial" w:eastAsia="Arial" w:hAnsi="Arial"/>
                <w:sz w:val="13"/>
                <w:szCs w:val="13"/>
                <w:color w:val="auto"/>
              </w:rPr>
              <w:t>(180,899)</w:t>
            </w:r>
          </w:p>
        </w:tc>
        <w:tc>
          <w:tcPr>
            <w:tcW w:w="1060" w:type="dxa"/>
            <w:vAlign w:val="bottom"/>
            <w:tcBorders>
              <w:bottom w:val="single" w:sz="8" w:color="123054"/>
            </w:tcBorders>
          </w:tcPr>
          <w:p>
            <w:pPr>
              <w:jc w:val="center"/>
              <w:spacing w:after="0"/>
              <w:rPr>
                <w:sz w:val="20"/>
                <w:szCs w:val="20"/>
                <w:color w:val="auto"/>
              </w:rPr>
            </w:pPr>
            <w:r>
              <w:rPr>
                <w:rFonts w:ascii="Arial" w:cs="Arial" w:eastAsia="Arial" w:hAnsi="Arial"/>
                <w:sz w:val="13"/>
                <w:szCs w:val="13"/>
                <w:color w:val="auto"/>
                <w:w w:val="97"/>
              </w:rPr>
              <w:t>579,698</w:t>
            </w:r>
          </w:p>
        </w:tc>
      </w:tr>
    </w:tbl>
    <w:p>
      <w:pPr>
        <w:spacing w:after="0" w:line="198" w:lineRule="exact"/>
        <w:rPr>
          <w:sz w:val="20"/>
          <w:szCs w:val="20"/>
          <w:color w:val="auto"/>
        </w:rPr>
      </w:pPr>
    </w:p>
    <w:p>
      <w:pPr>
        <w:ind w:left="900" w:hanging="278"/>
        <w:spacing w:after="0"/>
        <w:tabs>
          <w:tab w:leader="none" w:pos="900" w:val="left"/>
        </w:tabs>
        <w:numPr>
          <w:ilvl w:val="0"/>
          <w:numId w:val="73"/>
        </w:numPr>
        <w:rPr>
          <w:rFonts w:ascii="Arial" w:cs="Arial" w:eastAsia="Arial" w:hAnsi="Arial"/>
          <w:sz w:val="13"/>
          <w:szCs w:val="13"/>
          <w:color w:val="1397D4"/>
        </w:rPr>
      </w:pPr>
      <w:r>
        <w:rPr>
          <w:rFonts w:ascii="Arial" w:cs="Arial" w:eastAsia="Arial" w:hAnsi="Arial"/>
          <w:sz w:val="13"/>
          <w:szCs w:val="13"/>
          <w:color w:val="auto"/>
        </w:rPr>
        <w:t>Amounts in rows may not add exactly to the total due to rounding.</w:t>
      </w:r>
    </w:p>
    <w:p>
      <w:pPr>
        <w:spacing w:after="0" w:line="26" w:lineRule="exact"/>
        <w:rPr>
          <w:sz w:val="20"/>
          <w:szCs w:val="20"/>
          <w:color w:val="auto"/>
        </w:rPr>
      </w:pPr>
    </w:p>
    <w:p>
      <w:pPr>
        <w:ind w:left="920" w:right="220" w:hanging="298"/>
        <w:spacing w:after="0" w:line="215" w:lineRule="auto"/>
        <w:tabs>
          <w:tab w:leader="none" w:pos="9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the grant date fair value of equity-based awards granted each year, as shown in the Stock Awards column of the Summary Compensation Table.</w:t>
      </w:r>
    </w:p>
    <w:p>
      <w:pPr>
        <w:ind w:left="920" w:right="220" w:hanging="298"/>
        <w:spacing w:after="0" w:line="213" w:lineRule="auto"/>
        <w:tabs>
          <w:tab w:leader="none" w:pos="9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Reflects the value of equity-based awards calculated in accordance with the SEC methodology for determining CAP for each year shown under generally accepted accounting principles. The fair value of our performance-based restricted stock is calculated based on the probable outcome of the performance conditions determined as of the last day of the fiscal year and our closing stock price on such day. The determination of equity award adjustments to SCT total compensation is detailed in the supplemental table below</w:t>
      </w:r>
      <w:r>
        <w:rPr>
          <w:rFonts w:ascii="Arial" w:cs="Arial" w:eastAsia="Arial" w:hAnsi="Arial"/>
          <w:sz w:val="13"/>
          <w:szCs w:val="13"/>
          <w:i w:val="1"/>
          <w:iCs w:val="1"/>
          <w:color w:val="auto"/>
        </w:rPr>
        <w:t>.</w:t>
      </w: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4720" w:type="dxa"/>
            <w:vAlign w:val="bottom"/>
            <w:gridSpan w:val="4"/>
          </w:tcPr>
          <w:p>
            <w:pPr>
              <w:ind w:left="200"/>
              <w:spacing w:after="0"/>
              <w:rPr>
                <w:sz w:val="20"/>
                <w:szCs w:val="20"/>
                <w:color w:val="auto"/>
              </w:rPr>
            </w:pPr>
            <w:r>
              <w:rPr>
                <w:rFonts w:ascii="Arial" w:cs="Arial" w:eastAsia="Arial" w:hAnsi="Arial"/>
                <w:sz w:val="13"/>
                <w:szCs w:val="13"/>
                <w:b w:val="1"/>
                <w:bCs w:val="1"/>
                <w:color w:val="FBFBFB"/>
                <w:w w:val="96"/>
              </w:rPr>
              <w:t>Average Non-PEO NEOs Equity Component of Compensation Actually Paid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3"/>
        </w:trPr>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6"/>
              </w:rPr>
              <w:t>Value of</w:t>
            </w:r>
          </w:p>
        </w:tc>
        <w:tc>
          <w:tcPr>
            <w:tcW w:w="620" w:type="dxa"/>
            <w:vAlign w:val="bottom"/>
          </w:tcPr>
          <w:p>
            <w:pPr>
              <w:spacing w:after="0"/>
              <w:rPr>
                <w:sz w:val="16"/>
                <w:szCs w:val="16"/>
                <w:color w:val="auto"/>
              </w:rPr>
            </w:pPr>
          </w:p>
        </w:tc>
      </w:tr>
      <w:tr>
        <w:trPr>
          <w:trHeight w:val="148"/>
        </w:trPr>
        <w:tc>
          <w:tcPr>
            <w:tcW w:w="980" w:type="dxa"/>
            <w:vAlign w:val="bottom"/>
          </w:tcPr>
          <w:p>
            <w:pPr>
              <w:spacing w:after="0"/>
              <w:rPr>
                <w:sz w:val="12"/>
                <w:szCs w:val="12"/>
                <w:color w:val="auto"/>
              </w:rPr>
            </w:pPr>
          </w:p>
        </w:tc>
        <w:tc>
          <w:tcPr>
            <w:tcW w:w="1300" w:type="dxa"/>
            <w:vAlign w:val="bottom"/>
          </w:tcPr>
          <w:p>
            <w:pPr>
              <w:ind w:left="320"/>
              <w:spacing w:after="0"/>
              <w:rPr>
                <w:sz w:val="20"/>
                <w:szCs w:val="20"/>
                <w:color w:val="auto"/>
              </w:rPr>
            </w:pPr>
            <w:r>
              <w:rPr>
                <w:rFonts w:ascii="Arial" w:cs="Arial" w:eastAsia="Arial" w:hAnsi="Arial"/>
                <w:sz w:val="13"/>
                <w:szCs w:val="13"/>
                <w:color w:val="FFFFFF"/>
              </w:rPr>
              <w:t>Year over Year</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6"/>
              </w:rPr>
              <w:t>Dividends or</w:t>
            </w:r>
          </w:p>
        </w:tc>
        <w:tc>
          <w:tcPr>
            <w:tcW w:w="6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300" w:type="dxa"/>
            <w:vAlign w:val="bottom"/>
          </w:tcPr>
          <w:p>
            <w:pPr>
              <w:ind w:left="320"/>
              <w:spacing w:after="0"/>
              <w:rPr>
                <w:sz w:val="20"/>
                <w:szCs w:val="20"/>
                <w:color w:val="auto"/>
              </w:rPr>
            </w:pPr>
            <w:r>
              <w:rPr>
                <w:rFonts w:ascii="Arial" w:cs="Arial" w:eastAsia="Arial" w:hAnsi="Arial"/>
                <w:sz w:val="13"/>
                <w:szCs w:val="13"/>
                <w:color w:val="FFFFFF"/>
              </w:rPr>
              <w:t>Change in Fair</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color w:val="FFFFFF"/>
                <w:w w:val="94"/>
              </w:rPr>
              <w:t>Fair Value at</w:t>
            </w:r>
          </w:p>
        </w:tc>
        <w:tc>
          <w:tcPr>
            <w:tcW w:w="1160" w:type="dxa"/>
            <w:vAlign w:val="bottom"/>
          </w:tcPr>
          <w:p>
            <w:pPr>
              <w:jc w:val="center"/>
              <w:ind w:right="337"/>
              <w:spacing w:after="0"/>
              <w:rPr>
                <w:sz w:val="20"/>
                <w:szCs w:val="20"/>
                <w:color w:val="auto"/>
              </w:rPr>
            </w:pPr>
            <w:r>
              <w:rPr>
                <w:rFonts w:ascii="Arial" w:cs="Arial" w:eastAsia="Arial" w:hAnsi="Arial"/>
                <w:sz w:val="13"/>
                <w:szCs w:val="13"/>
                <w:color w:val="FFFFFF"/>
                <w:w w:val="94"/>
              </w:rPr>
              <w:t>other</w:t>
            </w:r>
          </w:p>
        </w:tc>
        <w:tc>
          <w:tcPr>
            <w:tcW w:w="6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300" w:type="dxa"/>
            <w:vAlign w:val="bottom"/>
          </w:tcPr>
          <w:p>
            <w:pPr>
              <w:jc w:val="center"/>
              <w:ind w:left="57"/>
              <w:spacing w:after="0"/>
              <w:rPr>
                <w:sz w:val="20"/>
                <w:szCs w:val="20"/>
                <w:color w:val="auto"/>
              </w:rPr>
            </w:pPr>
            <w:r>
              <w:rPr>
                <w:rFonts w:ascii="Arial" w:cs="Arial" w:eastAsia="Arial" w:hAnsi="Arial"/>
                <w:sz w:val="13"/>
                <w:szCs w:val="13"/>
                <w:color w:val="FFFFFF"/>
                <w:w w:val="96"/>
              </w:rPr>
              <w:t>Value of</w:t>
            </w:r>
          </w:p>
        </w:tc>
        <w:tc>
          <w:tcPr>
            <w:tcW w:w="1080" w:type="dxa"/>
            <w:vAlign w:val="bottom"/>
          </w:tcPr>
          <w:p>
            <w:pPr>
              <w:ind w:left="180"/>
              <w:spacing w:after="0"/>
              <w:rPr>
                <w:sz w:val="20"/>
                <w:szCs w:val="20"/>
                <w:color w:val="auto"/>
              </w:rPr>
            </w:pPr>
            <w:r>
              <w:rPr>
                <w:rFonts w:ascii="Arial" w:cs="Arial" w:eastAsia="Arial" w:hAnsi="Arial"/>
                <w:sz w:val="13"/>
                <w:szCs w:val="13"/>
                <w:color w:val="FFFFFF"/>
              </w:rPr>
              <w:t>Fair Value as</w:t>
            </w:r>
          </w:p>
        </w:tc>
        <w:tc>
          <w:tcPr>
            <w:tcW w:w="1180" w:type="dxa"/>
            <w:vAlign w:val="bottom"/>
          </w:tcPr>
          <w:p>
            <w:pPr>
              <w:ind w:left="180"/>
              <w:spacing w:after="0"/>
              <w:rPr>
                <w:sz w:val="20"/>
                <w:szCs w:val="20"/>
                <w:color w:val="auto"/>
              </w:rPr>
            </w:pPr>
            <w:r>
              <w:rPr>
                <w:rFonts w:ascii="Arial" w:cs="Arial" w:eastAsia="Arial" w:hAnsi="Arial"/>
                <w:sz w:val="13"/>
                <w:szCs w:val="13"/>
                <w:color w:val="FFFFFF"/>
              </w:rPr>
              <w:t>Year over Year</w:t>
            </w:r>
          </w:p>
        </w:tc>
        <w:tc>
          <w:tcPr>
            <w:tcW w:w="1160" w:type="dxa"/>
            <w:vAlign w:val="bottom"/>
          </w:tcPr>
          <w:p>
            <w:pPr>
              <w:jc w:val="center"/>
              <w:ind w:right="57"/>
              <w:spacing w:after="0"/>
              <w:rPr>
                <w:sz w:val="20"/>
                <w:szCs w:val="20"/>
                <w:color w:val="auto"/>
              </w:rPr>
            </w:pPr>
            <w:r>
              <w:rPr>
                <w:rFonts w:ascii="Arial" w:cs="Arial" w:eastAsia="Arial" w:hAnsi="Arial"/>
                <w:sz w:val="13"/>
                <w:szCs w:val="13"/>
                <w:color w:val="FFFFFF"/>
                <w:w w:val="94"/>
              </w:rPr>
              <w:t>the End of</w:t>
            </w:r>
          </w:p>
        </w:tc>
        <w:tc>
          <w:tcPr>
            <w:tcW w:w="1160" w:type="dxa"/>
            <w:vAlign w:val="bottom"/>
          </w:tcPr>
          <w:p>
            <w:pPr>
              <w:jc w:val="center"/>
              <w:ind w:right="277"/>
              <w:spacing w:after="0"/>
              <w:rPr>
                <w:sz w:val="20"/>
                <w:szCs w:val="20"/>
                <w:color w:val="auto"/>
              </w:rPr>
            </w:pPr>
            <w:r>
              <w:rPr>
                <w:rFonts w:ascii="Arial" w:cs="Arial" w:eastAsia="Arial" w:hAnsi="Arial"/>
                <w:sz w:val="13"/>
                <w:szCs w:val="13"/>
                <w:color w:val="FFFFFF"/>
                <w:w w:val="96"/>
              </w:rPr>
              <w:t>Earnings Paid</w:t>
            </w:r>
          </w:p>
        </w:tc>
        <w:tc>
          <w:tcPr>
            <w:tcW w:w="620" w:type="dxa"/>
            <w:vAlign w:val="bottom"/>
          </w:tcPr>
          <w:p>
            <w:pPr>
              <w:spacing w:after="0"/>
              <w:rPr>
                <w:sz w:val="12"/>
                <w:szCs w:val="12"/>
                <w:color w:val="auto"/>
              </w:rPr>
            </w:pPr>
          </w:p>
        </w:tc>
      </w:tr>
      <w:tr>
        <w:trPr>
          <w:trHeight w:val="148"/>
        </w:trPr>
        <w:tc>
          <w:tcPr>
            <w:tcW w:w="980" w:type="dxa"/>
            <w:vAlign w:val="bottom"/>
          </w:tcPr>
          <w:p>
            <w:pPr>
              <w:jc w:val="center"/>
              <w:ind w:right="117"/>
              <w:spacing w:after="0"/>
              <w:rPr>
                <w:sz w:val="20"/>
                <w:szCs w:val="20"/>
                <w:color w:val="auto"/>
              </w:rPr>
            </w:pPr>
            <w:r>
              <w:rPr>
                <w:rFonts w:ascii="Arial" w:cs="Arial" w:eastAsia="Arial" w:hAnsi="Arial"/>
                <w:sz w:val="13"/>
                <w:szCs w:val="13"/>
                <w:color w:val="FFFFFF"/>
                <w:w w:val="97"/>
              </w:rPr>
              <w:t>Fair Value of</w:t>
            </w:r>
          </w:p>
        </w:tc>
        <w:tc>
          <w:tcPr>
            <w:tcW w:w="1300" w:type="dxa"/>
            <w:vAlign w:val="bottom"/>
          </w:tcPr>
          <w:p>
            <w:pPr>
              <w:jc w:val="center"/>
              <w:ind w:left="77"/>
              <w:spacing w:after="0"/>
              <w:rPr>
                <w:sz w:val="20"/>
                <w:szCs w:val="20"/>
                <w:color w:val="auto"/>
              </w:rPr>
            </w:pPr>
            <w:r>
              <w:rPr>
                <w:rFonts w:ascii="Arial" w:cs="Arial" w:eastAsia="Arial" w:hAnsi="Arial"/>
                <w:sz w:val="13"/>
                <w:szCs w:val="13"/>
                <w:color w:val="FFFFFF"/>
                <w:w w:val="96"/>
              </w:rPr>
              <w:t>Equity Awards</w:t>
            </w:r>
          </w:p>
        </w:tc>
        <w:tc>
          <w:tcPr>
            <w:tcW w:w="1080" w:type="dxa"/>
            <w:vAlign w:val="bottom"/>
          </w:tcPr>
          <w:p>
            <w:pPr>
              <w:jc w:val="center"/>
              <w:spacing w:after="0"/>
              <w:rPr>
                <w:sz w:val="20"/>
                <w:szCs w:val="20"/>
                <w:color w:val="auto"/>
              </w:rPr>
            </w:pPr>
            <w:r>
              <w:rPr>
                <w:rFonts w:ascii="Arial" w:cs="Arial" w:eastAsia="Arial" w:hAnsi="Arial"/>
                <w:sz w:val="13"/>
                <w:szCs w:val="13"/>
                <w:color w:val="FFFFFF"/>
                <w:w w:val="96"/>
              </w:rPr>
              <w:t>of Vesting</w:t>
            </w:r>
          </w:p>
        </w:tc>
        <w:tc>
          <w:tcPr>
            <w:tcW w:w="1180" w:type="dxa"/>
            <w:vAlign w:val="bottom"/>
          </w:tcPr>
          <w:p>
            <w:pPr>
              <w:ind w:left="180"/>
              <w:spacing w:after="0"/>
              <w:rPr>
                <w:sz w:val="20"/>
                <w:szCs w:val="20"/>
                <w:color w:val="auto"/>
              </w:rPr>
            </w:pPr>
            <w:r>
              <w:rPr>
                <w:rFonts w:ascii="Arial" w:cs="Arial" w:eastAsia="Arial" w:hAnsi="Arial"/>
                <w:sz w:val="13"/>
                <w:szCs w:val="13"/>
                <w:color w:val="FFFFFF"/>
              </w:rPr>
              <w:t>Change in Fair</w:t>
            </w:r>
          </w:p>
        </w:tc>
        <w:tc>
          <w:tcPr>
            <w:tcW w:w="1160" w:type="dxa"/>
            <w:vAlign w:val="bottom"/>
          </w:tcPr>
          <w:p>
            <w:pPr>
              <w:jc w:val="center"/>
              <w:ind w:right="97"/>
              <w:spacing w:after="0"/>
              <w:rPr>
                <w:sz w:val="20"/>
                <w:szCs w:val="20"/>
                <w:color w:val="auto"/>
              </w:rPr>
            </w:pPr>
            <w:r>
              <w:rPr>
                <w:rFonts w:ascii="Arial" w:cs="Arial" w:eastAsia="Arial" w:hAnsi="Arial"/>
                <w:sz w:val="13"/>
                <w:szCs w:val="13"/>
                <w:color w:val="FFFFFF"/>
                <w:w w:val="88"/>
              </w:rPr>
              <w:t>the</w:t>
            </w: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9"/>
              </w:rPr>
              <w:t>on Equity</w:t>
            </w:r>
          </w:p>
        </w:tc>
        <w:tc>
          <w:tcPr>
            <w:tcW w:w="620" w:type="dxa"/>
            <w:vAlign w:val="bottom"/>
          </w:tcPr>
          <w:p>
            <w:pPr>
              <w:spacing w:after="0"/>
              <w:rPr>
                <w:sz w:val="12"/>
                <w:szCs w:val="12"/>
                <w:color w:val="auto"/>
              </w:rPr>
            </w:pPr>
          </w:p>
        </w:tc>
      </w:tr>
      <w:tr>
        <w:trPr>
          <w:trHeight w:val="162"/>
        </w:trPr>
        <w:tc>
          <w:tcPr>
            <w:tcW w:w="980" w:type="dxa"/>
            <w:vAlign w:val="bottom"/>
          </w:tcPr>
          <w:p>
            <w:pPr>
              <w:jc w:val="center"/>
              <w:ind w:right="117"/>
              <w:spacing w:after="0"/>
              <w:rPr>
                <w:sz w:val="20"/>
                <w:szCs w:val="20"/>
                <w:color w:val="auto"/>
              </w:rPr>
            </w:pPr>
            <w:r>
              <w:rPr>
                <w:rFonts w:ascii="Arial" w:cs="Arial" w:eastAsia="Arial" w:hAnsi="Arial"/>
                <w:sz w:val="13"/>
                <w:szCs w:val="13"/>
                <w:color w:val="FFFFFF"/>
                <w:w w:val="96"/>
              </w:rPr>
              <w:t>Equity Awards</w:t>
            </w:r>
          </w:p>
        </w:tc>
        <w:tc>
          <w:tcPr>
            <w:tcW w:w="1300" w:type="dxa"/>
            <w:vAlign w:val="bottom"/>
          </w:tcPr>
          <w:p>
            <w:pPr>
              <w:jc w:val="center"/>
              <w:ind w:left="57"/>
              <w:spacing w:after="0"/>
              <w:rPr>
                <w:sz w:val="20"/>
                <w:szCs w:val="20"/>
                <w:color w:val="auto"/>
              </w:rPr>
            </w:pPr>
            <w:r>
              <w:rPr>
                <w:rFonts w:ascii="Arial" w:cs="Arial" w:eastAsia="Arial" w:hAnsi="Arial"/>
                <w:sz w:val="13"/>
                <w:szCs w:val="13"/>
                <w:color w:val="FFFFFF"/>
                <w:w w:val="95"/>
              </w:rPr>
              <w:t>Granted in</w:t>
            </w:r>
          </w:p>
        </w:tc>
        <w:tc>
          <w:tcPr>
            <w:tcW w:w="1080" w:type="dxa"/>
            <w:vAlign w:val="bottom"/>
          </w:tcPr>
          <w:p>
            <w:pPr>
              <w:jc w:val="center"/>
              <w:spacing w:after="0"/>
              <w:rPr>
                <w:sz w:val="20"/>
                <w:szCs w:val="20"/>
                <w:color w:val="auto"/>
              </w:rPr>
            </w:pPr>
            <w:r>
              <w:rPr>
                <w:rFonts w:ascii="Arial" w:cs="Arial" w:eastAsia="Arial" w:hAnsi="Arial"/>
                <w:sz w:val="13"/>
                <w:szCs w:val="13"/>
                <w:color w:val="FFFFFF"/>
                <w:w w:val="95"/>
              </w:rPr>
              <w:t>Date of</w:t>
            </w:r>
          </w:p>
        </w:tc>
        <w:tc>
          <w:tcPr>
            <w:tcW w:w="1180" w:type="dxa"/>
            <w:vAlign w:val="bottom"/>
          </w:tcPr>
          <w:p>
            <w:pPr>
              <w:jc w:val="center"/>
              <w:spacing w:after="0"/>
              <w:rPr>
                <w:sz w:val="20"/>
                <w:szCs w:val="20"/>
                <w:color w:val="auto"/>
              </w:rPr>
            </w:pPr>
            <w:r>
              <w:rPr>
                <w:rFonts w:ascii="Arial" w:cs="Arial" w:eastAsia="Arial" w:hAnsi="Arial"/>
                <w:sz w:val="13"/>
                <w:szCs w:val="13"/>
                <w:color w:val="FFFFFF"/>
                <w:w w:val="96"/>
              </w:rPr>
              <w:t>Value of</w:t>
            </w:r>
          </w:p>
        </w:tc>
        <w:tc>
          <w:tcPr>
            <w:tcW w:w="1160" w:type="dxa"/>
            <w:vAlign w:val="bottom"/>
          </w:tcPr>
          <w:p>
            <w:pPr>
              <w:jc w:val="center"/>
              <w:ind w:right="37"/>
              <w:spacing w:after="0"/>
              <w:rPr>
                <w:sz w:val="20"/>
                <w:szCs w:val="20"/>
                <w:color w:val="auto"/>
              </w:rPr>
            </w:pPr>
            <w:r>
              <w:rPr>
                <w:rFonts w:ascii="Arial" w:cs="Arial" w:eastAsia="Arial" w:hAnsi="Arial"/>
                <w:sz w:val="13"/>
                <w:szCs w:val="13"/>
                <w:color w:val="FFFFFF"/>
                <w:w w:val="95"/>
              </w:rPr>
              <w:t>Prior Year of</w:t>
            </w: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5"/>
              </w:rPr>
              <w:t>Awards not</w:t>
            </w:r>
          </w:p>
        </w:tc>
        <w:tc>
          <w:tcPr>
            <w:tcW w:w="620" w:type="dxa"/>
            <w:vAlign w:val="bottom"/>
          </w:tcPr>
          <w:p>
            <w:pPr>
              <w:spacing w:after="0"/>
              <w:rPr>
                <w:sz w:val="14"/>
                <w:szCs w:val="14"/>
                <w:color w:val="auto"/>
              </w:rPr>
            </w:pPr>
          </w:p>
        </w:tc>
      </w:tr>
      <w:tr>
        <w:trPr>
          <w:trHeight w:val="148"/>
        </w:trPr>
        <w:tc>
          <w:tcPr>
            <w:tcW w:w="980" w:type="dxa"/>
            <w:vAlign w:val="bottom"/>
          </w:tcPr>
          <w:p>
            <w:pPr>
              <w:jc w:val="center"/>
              <w:ind w:right="117"/>
              <w:spacing w:after="0"/>
              <w:rPr>
                <w:sz w:val="20"/>
                <w:szCs w:val="20"/>
                <w:color w:val="auto"/>
              </w:rPr>
            </w:pPr>
            <w:r>
              <w:rPr>
                <w:rFonts w:ascii="Arial" w:cs="Arial" w:eastAsia="Arial" w:hAnsi="Arial"/>
                <w:sz w:val="13"/>
                <w:szCs w:val="13"/>
                <w:color w:val="FFFFFF"/>
                <w:w w:val="97"/>
              </w:rPr>
              <w:t>Granted in the</w:t>
            </w:r>
          </w:p>
        </w:tc>
        <w:tc>
          <w:tcPr>
            <w:tcW w:w="1300" w:type="dxa"/>
            <w:vAlign w:val="bottom"/>
          </w:tcPr>
          <w:p>
            <w:pPr>
              <w:jc w:val="center"/>
              <w:ind w:left="57"/>
              <w:spacing w:after="0"/>
              <w:rPr>
                <w:sz w:val="20"/>
                <w:szCs w:val="20"/>
                <w:color w:val="auto"/>
              </w:rPr>
            </w:pPr>
            <w:r>
              <w:rPr>
                <w:rFonts w:ascii="Arial" w:cs="Arial" w:eastAsia="Arial" w:hAnsi="Arial"/>
                <w:sz w:val="13"/>
                <w:szCs w:val="13"/>
                <w:color w:val="FFFFFF"/>
                <w:w w:val="95"/>
              </w:rPr>
              <w:t>Prior Years</w:t>
            </w:r>
          </w:p>
        </w:tc>
        <w:tc>
          <w:tcPr>
            <w:tcW w:w="1080" w:type="dxa"/>
            <w:vAlign w:val="bottom"/>
          </w:tcPr>
          <w:p>
            <w:pPr>
              <w:jc w:val="center"/>
              <w:spacing w:after="0"/>
              <w:rPr>
                <w:sz w:val="20"/>
                <w:szCs w:val="20"/>
                <w:color w:val="auto"/>
              </w:rPr>
            </w:pPr>
            <w:r>
              <w:rPr>
                <w:rFonts w:ascii="Arial" w:cs="Arial" w:eastAsia="Arial" w:hAnsi="Arial"/>
                <w:sz w:val="13"/>
                <w:szCs w:val="13"/>
                <w:color w:val="FFFFFF"/>
                <w:w w:val="93"/>
              </w:rPr>
              <w:t>Equity</w:t>
            </w:r>
          </w:p>
        </w:tc>
        <w:tc>
          <w:tcPr>
            <w:tcW w:w="1180" w:type="dxa"/>
            <w:vAlign w:val="bottom"/>
          </w:tcPr>
          <w:p>
            <w:pPr>
              <w:ind w:left="180"/>
              <w:spacing w:after="0"/>
              <w:rPr>
                <w:sz w:val="20"/>
                <w:szCs w:val="20"/>
                <w:color w:val="auto"/>
              </w:rPr>
            </w:pPr>
            <w:r>
              <w:rPr>
                <w:rFonts w:ascii="Arial" w:cs="Arial" w:eastAsia="Arial" w:hAnsi="Arial"/>
                <w:sz w:val="13"/>
                <w:szCs w:val="13"/>
                <w:color w:val="FFFFFF"/>
              </w:rPr>
              <w:t>Equity Awards</w:t>
            </w:r>
          </w:p>
        </w:tc>
        <w:tc>
          <w:tcPr>
            <w:tcW w:w="1160" w:type="dxa"/>
            <w:vAlign w:val="bottom"/>
          </w:tcPr>
          <w:p>
            <w:pPr>
              <w:jc w:val="center"/>
              <w:ind w:right="97"/>
              <w:spacing w:after="0"/>
              <w:rPr>
                <w:sz w:val="20"/>
                <w:szCs w:val="20"/>
                <w:color w:val="auto"/>
              </w:rPr>
            </w:pPr>
            <w:r>
              <w:rPr>
                <w:rFonts w:ascii="Arial" w:cs="Arial" w:eastAsia="Arial" w:hAnsi="Arial"/>
                <w:sz w:val="13"/>
                <w:szCs w:val="13"/>
                <w:color w:val="FFFFFF"/>
                <w:w w:val="99"/>
              </w:rPr>
              <w:t>Equity</w:t>
            </w: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9"/>
              </w:rPr>
              <w:t>Otherwise</w:t>
            </w:r>
          </w:p>
        </w:tc>
        <w:tc>
          <w:tcPr>
            <w:tcW w:w="620" w:type="dxa"/>
            <w:vAlign w:val="bottom"/>
          </w:tcPr>
          <w:p>
            <w:pPr>
              <w:spacing w:after="0"/>
              <w:rPr>
                <w:sz w:val="12"/>
                <w:szCs w:val="12"/>
                <w:color w:val="auto"/>
              </w:rPr>
            </w:pPr>
          </w:p>
        </w:tc>
      </w:tr>
      <w:tr>
        <w:trPr>
          <w:trHeight w:val="166"/>
        </w:trPr>
        <w:tc>
          <w:tcPr>
            <w:tcW w:w="980" w:type="dxa"/>
            <w:vAlign w:val="bottom"/>
          </w:tcPr>
          <w:p>
            <w:pPr>
              <w:jc w:val="center"/>
              <w:ind w:right="137"/>
              <w:spacing w:after="0"/>
              <w:rPr>
                <w:sz w:val="20"/>
                <w:szCs w:val="20"/>
                <w:color w:val="auto"/>
              </w:rPr>
            </w:pPr>
            <w:r>
              <w:rPr>
                <w:rFonts w:ascii="Arial" w:cs="Arial" w:eastAsia="Arial" w:hAnsi="Arial"/>
                <w:sz w:val="13"/>
                <w:szCs w:val="13"/>
                <w:color w:val="FFFFFF"/>
                <w:w w:val="94"/>
              </w:rPr>
              <w:t>Year and</w:t>
            </w:r>
          </w:p>
        </w:tc>
        <w:tc>
          <w:tcPr>
            <w:tcW w:w="1300" w:type="dxa"/>
            <w:vAlign w:val="bottom"/>
          </w:tcPr>
          <w:p>
            <w:pPr>
              <w:jc w:val="center"/>
              <w:ind w:left="17"/>
              <w:spacing w:after="0"/>
              <w:rPr>
                <w:sz w:val="20"/>
                <w:szCs w:val="20"/>
                <w:color w:val="auto"/>
              </w:rPr>
            </w:pPr>
            <w:r>
              <w:rPr>
                <w:rFonts w:ascii="Arial" w:cs="Arial" w:eastAsia="Arial" w:hAnsi="Arial"/>
                <w:sz w:val="13"/>
                <w:szCs w:val="13"/>
                <w:color w:val="FFFFFF"/>
              </w:rPr>
              <w:t>and</w:t>
            </w:r>
          </w:p>
        </w:tc>
        <w:tc>
          <w:tcPr>
            <w:tcW w:w="1080" w:type="dxa"/>
            <w:vAlign w:val="bottom"/>
          </w:tcPr>
          <w:p>
            <w:pPr>
              <w:jc w:val="center"/>
              <w:spacing w:after="0"/>
              <w:rPr>
                <w:sz w:val="20"/>
                <w:szCs w:val="20"/>
                <w:color w:val="auto"/>
              </w:rPr>
            </w:pPr>
            <w:r>
              <w:rPr>
                <w:rFonts w:ascii="Arial" w:cs="Arial" w:eastAsia="Arial" w:hAnsi="Arial"/>
                <w:sz w:val="13"/>
                <w:szCs w:val="13"/>
                <w:color w:val="FFFFFF"/>
                <w:w w:val="96"/>
              </w:rPr>
              <w:t>Awards</w:t>
            </w:r>
          </w:p>
        </w:tc>
        <w:tc>
          <w:tcPr>
            <w:tcW w:w="1180" w:type="dxa"/>
            <w:vAlign w:val="bottom"/>
          </w:tcPr>
          <w:p>
            <w:pPr>
              <w:jc w:val="center"/>
              <w:spacing w:after="0"/>
              <w:rPr>
                <w:sz w:val="20"/>
                <w:szCs w:val="20"/>
                <w:color w:val="auto"/>
              </w:rPr>
            </w:pPr>
            <w:r>
              <w:rPr>
                <w:rFonts w:ascii="Arial" w:cs="Arial" w:eastAsia="Arial" w:hAnsi="Arial"/>
                <w:sz w:val="13"/>
                <w:szCs w:val="13"/>
                <w:color w:val="FFFFFF"/>
                <w:w w:val="95"/>
              </w:rPr>
              <w:t>Granted in</w:t>
            </w:r>
          </w:p>
        </w:tc>
        <w:tc>
          <w:tcPr>
            <w:tcW w:w="1160" w:type="dxa"/>
            <w:vAlign w:val="bottom"/>
          </w:tcPr>
          <w:p>
            <w:pPr>
              <w:jc w:val="center"/>
              <w:ind w:right="77"/>
              <w:spacing w:after="0"/>
              <w:rPr>
                <w:sz w:val="20"/>
                <w:szCs w:val="20"/>
                <w:color w:val="auto"/>
              </w:rPr>
            </w:pPr>
            <w:r>
              <w:rPr>
                <w:rFonts w:ascii="Arial" w:cs="Arial" w:eastAsia="Arial" w:hAnsi="Arial"/>
                <w:sz w:val="13"/>
                <w:szCs w:val="13"/>
                <w:color w:val="FFFFFF"/>
                <w:w w:val="96"/>
              </w:rPr>
              <w:t>Awards</w:t>
            </w:r>
          </w:p>
        </w:tc>
        <w:tc>
          <w:tcPr>
            <w:tcW w:w="1160" w:type="dxa"/>
            <w:vAlign w:val="bottom"/>
          </w:tcPr>
          <w:p>
            <w:pPr>
              <w:jc w:val="center"/>
              <w:ind w:right="317"/>
              <w:spacing w:after="0"/>
              <w:rPr>
                <w:sz w:val="20"/>
                <w:szCs w:val="20"/>
                <w:color w:val="auto"/>
              </w:rPr>
            </w:pPr>
            <w:r>
              <w:rPr>
                <w:rFonts w:ascii="Arial" w:cs="Arial" w:eastAsia="Arial" w:hAnsi="Arial"/>
                <w:sz w:val="13"/>
                <w:szCs w:val="13"/>
                <w:color w:val="FFFFFF"/>
                <w:w w:val="96"/>
              </w:rPr>
              <w:t>Reflected in</w:t>
            </w:r>
          </w:p>
        </w:tc>
        <w:tc>
          <w:tcPr>
            <w:tcW w:w="620" w:type="dxa"/>
            <w:vAlign w:val="bottom"/>
          </w:tcPr>
          <w:p>
            <w:pPr>
              <w:ind w:left="360"/>
              <w:spacing w:after="0"/>
              <w:rPr>
                <w:sz w:val="20"/>
                <w:szCs w:val="20"/>
                <w:color w:val="auto"/>
              </w:rPr>
            </w:pPr>
            <w:r>
              <w:rPr>
                <w:rFonts w:ascii="Arial" w:cs="Arial" w:eastAsia="Arial" w:hAnsi="Arial"/>
                <w:sz w:val="13"/>
                <w:szCs w:val="13"/>
                <w:color w:val="FFFFFF"/>
                <w:w w:val="82"/>
              </w:rPr>
              <w:t>Total</w:t>
            </w:r>
          </w:p>
        </w:tc>
      </w:tr>
    </w:tbl>
    <w:p>
      <w:pPr>
        <w:sectPr>
          <w:pgSz w:w="11900" w:h="16850" w:orient="portrait"/>
          <w:cols w:equalWidth="0" w:num="1">
            <w:col w:w="9480"/>
          </w:cols>
          <w:pgMar w:left="1440" w:top="94" w:right="979" w:bottom="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82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46824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49"/>
        </w:trPr>
        <w:tc>
          <w:tcPr>
            <w:tcW w:w="520" w:type="dxa"/>
            <w:vAlign w:val="bottom"/>
            <w:shd w:val="clear" w:color="auto" w:fill="123054"/>
          </w:tcPr>
          <w:p>
            <w:pPr>
              <w:spacing w:after="0"/>
              <w:rPr>
                <w:sz w:val="13"/>
                <w:szCs w:val="13"/>
                <w:color w:val="auto"/>
              </w:rPr>
            </w:pPr>
          </w:p>
        </w:tc>
        <w:tc>
          <w:tcPr>
            <w:tcW w:w="1180" w:type="dxa"/>
            <w:vAlign w:val="bottom"/>
            <w:shd w:val="clear" w:color="auto" w:fill="123054"/>
          </w:tcPr>
          <w:p>
            <w:pPr>
              <w:jc w:val="center"/>
              <w:ind w:right="118"/>
              <w:spacing w:after="0"/>
              <w:rPr>
                <w:sz w:val="20"/>
                <w:szCs w:val="20"/>
                <w:color w:val="auto"/>
              </w:rPr>
            </w:pPr>
            <w:r>
              <w:rPr>
                <w:rFonts w:ascii="Arial" w:cs="Arial" w:eastAsia="Arial" w:hAnsi="Arial"/>
                <w:sz w:val="13"/>
                <w:szCs w:val="13"/>
                <w:color w:val="FFFFFF"/>
                <w:w w:val="96"/>
              </w:rPr>
              <w:t>Outstanding</w:t>
            </w:r>
          </w:p>
        </w:tc>
        <w:tc>
          <w:tcPr>
            <w:tcW w:w="1220" w:type="dxa"/>
            <w:vAlign w:val="bottom"/>
            <w:shd w:val="clear" w:color="auto" w:fill="123054"/>
          </w:tcPr>
          <w:p>
            <w:pPr>
              <w:jc w:val="right"/>
              <w:ind w:right="198"/>
              <w:spacing w:after="0"/>
              <w:rPr>
                <w:sz w:val="20"/>
                <w:szCs w:val="20"/>
                <w:color w:val="auto"/>
              </w:rPr>
            </w:pPr>
            <w:r>
              <w:rPr>
                <w:rFonts w:ascii="Arial" w:cs="Arial" w:eastAsia="Arial" w:hAnsi="Arial"/>
                <w:sz w:val="13"/>
                <w:szCs w:val="13"/>
                <w:color w:val="FFFFFF"/>
              </w:rPr>
              <w:t>Outstanding</w:t>
            </w:r>
          </w:p>
        </w:tc>
        <w:tc>
          <w:tcPr>
            <w:tcW w:w="108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96"/>
              </w:rPr>
              <w:t>Granted and</w:t>
            </w:r>
          </w:p>
        </w:tc>
        <w:tc>
          <w:tcPr>
            <w:tcW w:w="1160" w:type="dxa"/>
            <w:vAlign w:val="bottom"/>
            <w:shd w:val="clear" w:color="auto" w:fill="123054"/>
          </w:tcPr>
          <w:p>
            <w:pPr>
              <w:jc w:val="center"/>
              <w:spacing w:after="0"/>
              <w:rPr>
                <w:sz w:val="20"/>
                <w:szCs w:val="20"/>
                <w:color w:val="auto"/>
              </w:rPr>
            </w:pPr>
            <w:r>
              <w:rPr>
                <w:rFonts w:ascii="Arial" w:cs="Arial" w:eastAsia="Arial" w:hAnsi="Arial"/>
                <w:sz w:val="13"/>
                <w:szCs w:val="13"/>
                <w:color w:val="FFFFFF"/>
                <w:w w:val="95"/>
              </w:rPr>
              <w:t>Prior Years</w:t>
            </w:r>
          </w:p>
        </w:tc>
        <w:tc>
          <w:tcPr>
            <w:tcW w:w="1000" w:type="dxa"/>
            <w:vAlign w:val="bottom"/>
            <w:shd w:val="clear" w:color="auto" w:fill="123054"/>
          </w:tcPr>
          <w:p>
            <w:pPr>
              <w:jc w:val="right"/>
              <w:ind w:right="158"/>
              <w:spacing w:after="0"/>
              <w:rPr>
                <w:sz w:val="20"/>
                <w:szCs w:val="20"/>
                <w:color w:val="auto"/>
              </w:rPr>
            </w:pPr>
            <w:r>
              <w:rPr>
                <w:rFonts w:ascii="Arial" w:cs="Arial" w:eastAsia="Arial" w:hAnsi="Arial"/>
                <w:sz w:val="13"/>
                <w:szCs w:val="13"/>
                <w:color w:val="FFFFFF"/>
              </w:rPr>
              <w:t>that were</w:t>
            </w:r>
          </w:p>
        </w:tc>
        <w:tc>
          <w:tcPr>
            <w:tcW w:w="1240" w:type="dxa"/>
            <w:vAlign w:val="bottom"/>
            <w:shd w:val="clear" w:color="auto" w:fill="123054"/>
          </w:tcPr>
          <w:p>
            <w:pPr>
              <w:jc w:val="center"/>
              <w:ind w:right="18"/>
              <w:spacing w:after="0"/>
              <w:rPr>
                <w:sz w:val="20"/>
                <w:szCs w:val="20"/>
                <w:color w:val="auto"/>
              </w:rPr>
            </w:pPr>
            <w:r>
              <w:rPr>
                <w:rFonts w:ascii="Arial" w:cs="Arial" w:eastAsia="Arial" w:hAnsi="Arial"/>
                <w:sz w:val="13"/>
                <w:szCs w:val="13"/>
                <w:color w:val="FFFFFF"/>
                <w:w w:val="96"/>
              </w:rPr>
              <w:t>Fair Value or</w:t>
            </w:r>
          </w:p>
        </w:tc>
        <w:tc>
          <w:tcPr>
            <w:tcW w:w="1220" w:type="dxa"/>
            <w:vAlign w:val="bottom"/>
            <w:shd w:val="clear" w:color="auto" w:fill="123054"/>
          </w:tcPr>
          <w:p>
            <w:pPr>
              <w:ind w:left="420"/>
              <w:spacing w:after="0"/>
              <w:rPr>
                <w:sz w:val="20"/>
                <w:szCs w:val="20"/>
                <w:color w:val="auto"/>
              </w:rPr>
            </w:pPr>
            <w:r>
              <w:rPr>
                <w:rFonts w:ascii="Arial" w:cs="Arial" w:eastAsia="Arial" w:hAnsi="Arial"/>
                <w:sz w:val="13"/>
                <w:szCs w:val="13"/>
                <w:color w:val="FFFFFF"/>
              </w:rPr>
              <w:t>Equity</w:t>
            </w:r>
          </w:p>
        </w:tc>
      </w:tr>
      <w:tr>
        <w:trPr>
          <w:trHeight w:val="108"/>
        </w:trPr>
        <w:tc>
          <w:tcPr>
            <w:tcW w:w="520" w:type="dxa"/>
            <w:vAlign w:val="bottom"/>
            <w:shd w:val="clear" w:color="auto" w:fill="123054"/>
          </w:tcPr>
          <w:p>
            <w:pPr>
              <w:spacing w:after="0"/>
              <w:rPr>
                <w:sz w:val="9"/>
                <w:szCs w:val="9"/>
                <w:color w:val="auto"/>
              </w:rPr>
            </w:pPr>
          </w:p>
        </w:tc>
        <w:tc>
          <w:tcPr>
            <w:tcW w:w="1180" w:type="dxa"/>
            <w:vAlign w:val="bottom"/>
            <w:shd w:val="clear" w:color="auto" w:fill="123054"/>
          </w:tcPr>
          <w:p>
            <w:pPr>
              <w:jc w:val="center"/>
              <w:ind w:right="98"/>
              <w:spacing w:after="0" w:line="108" w:lineRule="exact"/>
              <w:rPr>
                <w:sz w:val="20"/>
                <w:szCs w:val="20"/>
                <w:color w:val="auto"/>
              </w:rPr>
            </w:pPr>
            <w:r>
              <w:rPr>
                <w:rFonts w:ascii="Arial" w:cs="Arial" w:eastAsia="Arial" w:hAnsi="Arial"/>
                <w:sz w:val="12"/>
                <w:szCs w:val="12"/>
                <w:color w:val="FFFFFF"/>
              </w:rPr>
              <w:t>and Unvested</w:t>
            </w:r>
          </w:p>
        </w:tc>
        <w:tc>
          <w:tcPr>
            <w:tcW w:w="1220" w:type="dxa"/>
            <w:vAlign w:val="bottom"/>
            <w:shd w:val="clear" w:color="auto" w:fill="123054"/>
          </w:tcPr>
          <w:p>
            <w:pPr>
              <w:ind w:left="240"/>
              <w:spacing w:after="0" w:line="108" w:lineRule="exact"/>
              <w:rPr>
                <w:sz w:val="20"/>
                <w:szCs w:val="20"/>
                <w:color w:val="auto"/>
              </w:rPr>
            </w:pPr>
            <w:r>
              <w:rPr>
                <w:rFonts w:ascii="Arial" w:cs="Arial" w:eastAsia="Arial" w:hAnsi="Arial"/>
                <w:sz w:val="12"/>
                <w:szCs w:val="12"/>
                <w:color w:val="FFFFFF"/>
              </w:rPr>
              <w:t>and Unvested</w:t>
            </w:r>
          </w:p>
        </w:tc>
        <w:tc>
          <w:tcPr>
            <w:tcW w:w="1080" w:type="dxa"/>
            <w:vAlign w:val="bottom"/>
            <w:shd w:val="clear" w:color="auto" w:fill="123054"/>
          </w:tcPr>
          <w:p>
            <w:pPr>
              <w:jc w:val="center"/>
              <w:spacing w:after="0" w:line="108" w:lineRule="exact"/>
              <w:rPr>
                <w:sz w:val="20"/>
                <w:szCs w:val="20"/>
                <w:color w:val="auto"/>
              </w:rPr>
            </w:pPr>
            <w:r>
              <w:rPr>
                <w:rFonts w:ascii="Arial" w:cs="Arial" w:eastAsia="Arial" w:hAnsi="Arial"/>
                <w:sz w:val="12"/>
                <w:szCs w:val="12"/>
                <w:color w:val="FFFFFF"/>
              </w:rPr>
              <w:t>Vested in</w:t>
            </w:r>
          </w:p>
        </w:tc>
        <w:tc>
          <w:tcPr>
            <w:tcW w:w="1160" w:type="dxa"/>
            <w:vAlign w:val="bottom"/>
            <w:shd w:val="clear" w:color="auto" w:fill="123054"/>
          </w:tcPr>
          <w:p>
            <w:pPr>
              <w:jc w:val="center"/>
              <w:spacing w:after="0" w:line="108" w:lineRule="exact"/>
              <w:rPr>
                <w:sz w:val="20"/>
                <w:szCs w:val="20"/>
                <w:color w:val="auto"/>
              </w:rPr>
            </w:pPr>
            <w:r>
              <w:rPr>
                <w:rFonts w:ascii="Arial" w:cs="Arial" w:eastAsia="Arial" w:hAnsi="Arial"/>
                <w:sz w:val="12"/>
                <w:szCs w:val="12"/>
                <w:color w:val="FFFFFF"/>
              </w:rPr>
              <w:t>that Vested in</w:t>
            </w:r>
          </w:p>
        </w:tc>
        <w:tc>
          <w:tcPr>
            <w:tcW w:w="1000" w:type="dxa"/>
            <w:vAlign w:val="bottom"/>
            <w:shd w:val="clear" w:color="auto" w:fill="123054"/>
          </w:tcPr>
          <w:p>
            <w:pPr>
              <w:jc w:val="center"/>
              <w:spacing w:after="0" w:line="108" w:lineRule="exact"/>
              <w:rPr>
                <w:sz w:val="20"/>
                <w:szCs w:val="20"/>
                <w:color w:val="auto"/>
              </w:rPr>
            </w:pPr>
            <w:r>
              <w:rPr>
                <w:rFonts w:ascii="Arial" w:cs="Arial" w:eastAsia="Arial" w:hAnsi="Arial"/>
                <w:sz w:val="12"/>
                <w:szCs w:val="12"/>
                <w:color w:val="FFFFFF"/>
              </w:rPr>
              <w:t>Forfeited in</w:t>
            </w:r>
          </w:p>
        </w:tc>
        <w:tc>
          <w:tcPr>
            <w:tcW w:w="1240" w:type="dxa"/>
            <w:vAlign w:val="bottom"/>
            <w:shd w:val="clear" w:color="auto" w:fill="123054"/>
          </w:tcPr>
          <w:p>
            <w:pPr>
              <w:ind w:left="420"/>
              <w:spacing w:after="0" w:line="108" w:lineRule="exact"/>
              <w:rPr>
                <w:sz w:val="20"/>
                <w:szCs w:val="20"/>
                <w:color w:val="auto"/>
              </w:rPr>
            </w:pPr>
            <w:r>
              <w:rPr>
                <w:rFonts w:ascii="Arial" w:cs="Arial" w:eastAsia="Arial" w:hAnsi="Arial"/>
                <w:sz w:val="12"/>
                <w:szCs w:val="12"/>
                <w:color w:val="FFFFFF"/>
              </w:rPr>
              <w:t>Total</w:t>
            </w:r>
          </w:p>
        </w:tc>
        <w:tc>
          <w:tcPr>
            <w:tcW w:w="1220" w:type="dxa"/>
            <w:vAlign w:val="bottom"/>
            <w:shd w:val="clear" w:color="auto" w:fill="123054"/>
          </w:tcPr>
          <w:p>
            <w:pPr>
              <w:ind w:left="420"/>
              <w:spacing w:after="0" w:line="108" w:lineRule="exact"/>
              <w:rPr>
                <w:sz w:val="20"/>
                <w:szCs w:val="20"/>
                <w:color w:val="auto"/>
              </w:rPr>
            </w:pPr>
            <w:r>
              <w:rPr>
                <w:rFonts w:ascii="Arial" w:cs="Arial" w:eastAsia="Arial" w:hAnsi="Arial"/>
                <w:sz w:val="12"/>
                <w:szCs w:val="12"/>
                <w:color w:val="FFFFFF"/>
              </w:rPr>
              <w:t>Award</w:t>
            </w:r>
          </w:p>
        </w:tc>
      </w:tr>
      <w:tr>
        <w:trPr>
          <w:trHeight w:val="175"/>
        </w:trPr>
        <w:tc>
          <w:tcPr>
            <w:tcW w:w="520" w:type="dxa"/>
            <w:vAlign w:val="bottom"/>
          </w:tcPr>
          <w:p>
            <w:pPr>
              <w:jc w:val="right"/>
              <w:ind w:right="157"/>
              <w:spacing w:after="0"/>
              <w:rPr>
                <w:sz w:val="20"/>
                <w:szCs w:val="20"/>
                <w:color w:val="auto"/>
              </w:rPr>
            </w:pPr>
            <w:r>
              <w:rPr>
                <w:rFonts w:ascii="Arial" w:cs="Arial" w:eastAsia="Arial" w:hAnsi="Arial"/>
                <w:sz w:val="13"/>
                <w:szCs w:val="13"/>
                <w:color w:val="FFFFFF"/>
              </w:rPr>
              <w:t>Year</w:t>
            </w:r>
          </w:p>
        </w:tc>
        <w:tc>
          <w:tcPr>
            <w:tcW w:w="1180" w:type="dxa"/>
            <w:vAlign w:val="bottom"/>
          </w:tcPr>
          <w:p>
            <w:pPr>
              <w:jc w:val="center"/>
              <w:ind w:right="58"/>
              <w:spacing w:after="0"/>
              <w:rPr>
                <w:sz w:val="20"/>
                <w:szCs w:val="20"/>
                <w:color w:val="auto"/>
              </w:rPr>
            </w:pPr>
            <w:r>
              <w:rPr>
                <w:rFonts w:ascii="Arial" w:cs="Arial" w:eastAsia="Arial" w:hAnsi="Arial"/>
                <w:sz w:val="13"/>
                <w:szCs w:val="13"/>
                <w:color w:val="FFFFFF"/>
                <w:w w:val="95"/>
              </w:rPr>
              <w:t>as of Year End</w:t>
            </w:r>
          </w:p>
        </w:tc>
        <w:tc>
          <w:tcPr>
            <w:tcW w:w="1220" w:type="dxa"/>
            <w:vAlign w:val="bottom"/>
          </w:tcPr>
          <w:p>
            <w:pPr>
              <w:ind w:left="240"/>
              <w:spacing w:after="0"/>
              <w:rPr>
                <w:sz w:val="20"/>
                <w:szCs w:val="20"/>
                <w:color w:val="auto"/>
              </w:rPr>
            </w:pPr>
            <w:r>
              <w:rPr>
                <w:rFonts w:ascii="Arial" w:cs="Arial" w:eastAsia="Arial" w:hAnsi="Arial"/>
                <w:sz w:val="13"/>
                <w:szCs w:val="13"/>
                <w:color w:val="FFFFFF"/>
              </w:rPr>
              <w:t>as of Year End</w:t>
            </w:r>
          </w:p>
        </w:tc>
        <w:tc>
          <w:tcPr>
            <w:tcW w:w="1080" w:type="dxa"/>
            <w:vAlign w:val="bottom"/>
          </w:tcPr>
          <w:p>
            <w:pPr>
              <w:jc w:val="center"/>
              <w:spacing w:after="0"/>
              <w:rPr>
                <w:sz w:val="20"/>
                <w:szCs w:val="20"/>
                <w:color w:val="auto"/>
              </w:rPr>
            </w:pPr>
            <w:r>
              <w:rPr>
                <w:rFonts w:ascii="Arial" w:cs="Arial" w:eastAsia="Arial" w:hAnsi="Arial"/>
                <w:sz w:val="13"/>
                <w:szCs w:val="13"/>
                <w:color w:val="FFFFFF"/>
                <w:w w:val="97"/>
              </w:rPr>
              <w:t>the Year</w:t>
            </w:r>
          </w:p>
        </w:tc>
        <w:tc>
          <w:tcPr>
            <w:tcW w:w="1160" w:type="dxa"/>
            <w:vAlign w:val="bottom"/>
          </w:tcPr>
          <w:p>
            <w:pPr>
              <w:jc w:val="center"/>
              <w:spacing w:after="0"/>
              <w:rPr>
                <w:sz w:val="20"/>
                <w:szCs w:val="20"/>
                <w:color w:val="auto"/>
              </w:rPr>
            </w:pPr>
            <w:r>
              <w:rPr>
                <w:rFonts w:ascii="Arial" w:cs="Arial" w:eastAsia="Arial" w:hAnsi="Arial"/>
                <w:sz w:val="13"/>
                <w:szCs w:val="13"/>
                <w:color w:val="FFFFFF"/>
                <w:w w:val="93"/>
              </w:rPr>
              <w:t>the Year</w:t>
            </w:r>
          </w:p>
        </w:tc>
        <w:tc>
          <w:tcPr>
            <w:tcW w:w="1000" w:type="dxa"/>
            <w:vAlign w:val="bottom"/>
          </w:tcPr>
          <w:p>
            <w:pPr>
              <w:jc w:val="center"/>
              <w:spacing w:after="0"/>
              <w:rPr>
                <w:sz w:val="20"/>
                <w:szCs w:val="20"/>
                <w:color w:val="auto"/>
              </w:rPr>
            </w:pPr>
            <w:r>
              <w:rPr>
                <w:rFonts w:ascii="Arial" w:cs="Arial" w:eastAsia="Arial" w:hAnsi="Arial"/>
                <w:sz w:val="13"/>
                <w:szCs w:val="13"/>
                <w:color w:val="FFFFFF"/>
                <w:w w:val="93"/>
              </w:rPr>
              <w:t>the Year</w:t>
            </w:r>
          </w:p>
        </w:tc>
        <w:tc>
          <w:tcPr>
            <w:tcW w:w="1240" w:type="dxa"/>
            <w:vAlign w:val="bottom"/>
          </w:tcPr>
          <w:p>
            <w:pPr>
              <w:jc w:val="center"/>
              <w:ind w:right="18"/>
              <w:spacing w:after="0"/>
              <w:rPr>
                <w:sz w:val="20"/>
                <w:szCs w:val="20"/>
                <w:color w:val="auto"/>
              </w:rPr>
            </w:pPr>
            <w:r>
              <w:rPr>
                <w:rFonts w:ascii="Arial" w:cs="Arial" w:eastAsia="Arial" w:hAnsi="Arial"/>
                <w:sz w:val="13"/>
                <w:szCs w:val="13"/>
                <w:color w:val="FFFFFF"/>
                <w:w w:val="95"/>
              </w:rPr>
              <w:t>Compensation</w:t>
            </w:r>
          </w:p>
        </w:tc>
        <w:tc>
          <w:tcPr>
            <w:tcW w:w="1220" w:type="dxa"/>
            <w:vAlign w:val="bottom"/>
          </w:tcPr>
          <w:p>
            <w:pPr>
              <w:ind w:left="260"/>
              <w:spacing w:after="0"/>
              <w:rPr>
                <w:sz w:val="20"/>
                <w:szCs w:val="20"/>
                <w:color w:val="auto"/>
              </w:rPr>
            </w:pPr>
            <w:r>
              <w:rPr>
                <w:rFonts w:ascii="Arial" w:cs="Arial" w:eastAsia="Arial" w:hAnsi="Arial"/>
                <w:sz w:val="13"/>
                <w:szCs w:val="13"/>
                <w:color w:val="FFFFFF"/>
              </w:rPr>
              <w:t>Adjustments</w:t>
            </w:r>
          </w:p>
        </w:tc>
      </w:tr>
      <w:tr>
        <w:trPr>
          <w:trHeight w:val="203"/>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2024</w:t>
            </w:r>
          </w:p>
        </w:tc>
        <w:tc>
          <w:tcPr>
            <w:tcW w:w="1180" w:type="dxa"/>
            <w:vAlign w:val="bottom"/>
          </w:tcPr>
          <w:p>
            <w:pPr>
              <w:jc w:val="center"/>
              <w:ind w:right="38"/>
              <w:spacing w:after="0"/>
              <w:rPr>
                <w:sz w:val="20"/>
                <w:szCs w:val="20"/>
                <w:color w:val="auto"/>
              </w:rPr>
            </w:pPr>
            <w:r>
              <w:rPr>
                <w:rFonts w:ascii="Arial" w:cs="Arial" w:eastAsia="Arial" w:hAnsi="Arial"/>
                <w:sz w:val="13"/>
                <w:szCs w:val="13"/>
                <w:color w:val="auto"/>
                <w:w w:val="96"/>
              </w:rPr>
              <w:t>1,140,756</w:t>
            </w:r>
          </w:p>
        </w:tc>
        <w:tc>
          <w:tcPr>
            <w:tcW w:w="1220" w:type="dxa"/>
            <w:vAlign w:val="bottom"/>
          </w:tcPr>
          <w:p>
            <w:pPr>
              <w:jc w:val="right"/>
              <w:ind w:right="238"/>
              <w:spacing w:after="0"/>
              <w:rPr>
                <w:sz w:val="20"/>
                <w:szCs w:val="20"/>
                <w:color w:val="auto"/>
              </w:rPr>
            </w:pPr>
            <w:r>
              <w:rPr>
                <w:rFonts w:ascii="Arial" w:cs="Arial" w:eastAsia="Arial" w:hAnsi="Arial"/>
                <w:sz w:val="13"/>
                <w:szCs w:val="13"/>
                <w:color w:val="auto"/>
              </w:rPr>
              <w:t>(919,949)</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8"/>
              <w:spacing w:after="0"/>
              <w:rPr>
                <w:sz w:val="20"/>
                <w:szCs w:val="20"/>
                <w:color w:val="auto"/>
              </w:rPr>
            </w:pPr>
            <w:r>
              <w:rPr>
                <w:rFonts w:ascii="Arial" w:cs="Arial" w:eastAsia="Arial" w:hAnsi="Arial"/>
                <w:sz w:val="13"/>
                <w:szCs w:val="13"/>
                <w:color w:val="auto"/>
              </w:rPr>
              <w:t>124,924</w:t>
            </w:r>
          </w:p>
        </w:tc>
        <w:tc>
          <w:tcPr>
            <w:tcW w:w="1000" w:type="dxa"/>
            <w:vAlign w:val="bottom"/>
          </w:tcPr>
          <w:p>
            <w:pPr>
              <w:jc w:val="right"/>
              <w:ind w:right="98"/>
              <w:spacing w:after="0"/>
              <w:rPr>
                <w:sz w:val="20"/>
                <w:szCs w:val="20"/>
                <w:color w:val="auto"/>
              </w:rPr>
            </w:pPr>
            <w:r>
              <w:rPr>
                <w:rFonts w:ascii="Arial" w:cs="Arial" w:eastAsia="Arial" w:hAnsi="Arial"/>
                <w:sz w:val="13"/>
                <w:szCs w:val="13"/>
                <w:color w:val="auto"/>
              </w:rPr>
              <w:t>(321,472)</w:t>
            </w:r>
          </w:p>
        </w:tc>
        <w:tc>
          <w:tcPr>
            <w:tcW w:w="1240" w:type="dxa"/>
            <w:vAlign w:val="bottom"/>
          </w:tcPr>
          <w:p>
            <w:pPr>
              <w:jc w:val="center"/>
              <w:ind w:right="18"/>
              <w:spacing w:after="0"/>
              <w:rPr>
                <w:sz w:val="20"/>
                <w:szCs w:val="20"/>
                <w:color w:val="auto"/>
              </w:rPr>
            </w:pPr>
            <w:r>
              <w:rPr>
                <w:rFonts w:ascii="Arial" w:cs="Arial" w:eastAsia="Arial" w:hAnsi="Arial"/>
                <w:sz w:val="13"/>
                <w:szCs w:val="13"/>
                <w:color w:val="auto"/>
                <w:w w:val="91"/>
              </w:rPr>
              <w:t>—</w:t>
            </w:r>
          </w:p>
        </w:tc>
        <w:tc>
          <w:tcPr>
            <w:tcW w:w="1220" w:type="dxa"/>
            <w:vAlign w:val="bottom"/>
          </w:tcPr>
          <w:p>
            <w:pPr>
              <w:ind w:left="440"/>
              <w:spacing w:after="0"/>
              <w:rPr>
                <w:sz w:val="20"/>
                <w:szCs w:val="20"/>
                <w:color w:val="auto"/>
              </w:rPr>
            </w:pPr>
            <w:r>
              <w:rPr>
                <w:rFonts w:ascii="Arial" w:cs="Arial" w:eastAsia="Arial" w:hAnsi="Arial"/>
                <w:sz w:val="13"/>
                <w:szCs w:val="13"/>
                <w:color w:val="auto"/>
              </w:rPr>
              <w:t>24,259</w:t>
            </w:r>
          </w:p>
        </w:tc>
      </w:tr>
      <w:tr>
        <w:trPr>
          <w:trHeight w:val="203"/>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2023</w:t>
            </w:r>
          </w:p>
        </w:tc>
        <w:tc>
          <w:tcPr>
            <w:tcW w:w="1180" w:type="dxa"/>
            <w:vAlign w:val="bottom"/>
          </w:tcPr>
          <w:p>
            <w:pPr>
              <w:jc w:val="center"/>
              <w:ind w:right="38"/>
              <w:spacing w:after="0"/>
              <w:rPr>
                <w:sz w:val="20"/>
                <w:szCs w:val="20"/>
                <w:color w:val="auto"/>
              </w:rPr>
            </w:pPr>
            <w:r>
              <w:rPr>
                <w:rFonts w:ascii="Arial" w:cs="Arial" w:eastAsia="Arial" w:hAnsi="Arial"/>
                <w:sz w:val="13"/>
                <w:szCs w:val="13"/>
                <w:color w:val="auto"/>
                <w:w w:val="96"/>
              </w:rPr>
              <w:t>1,476,966</w:t>
            </w:r>
          </w:p>
        </w:tc>
        <w:tc>
          <w:tcPr>
            <w:tcW w:w="1220" w:type="dxa"/>
            <w:vAlign w:val="bottom"/>
          </w:tcPr>
          <w:p>
            <w:pPr>
              <w:jc w:val="right"/>
              <w:ind w:right="238"/>
              <w:spacing w:after="0"/>
              <w:rPr>
                <w:sz w:val="20"/>
                <w:szCs w:val="20"/>
                <w:color w:val="auto"/>
              </w:rPr>
            </w:pPr>
            <w:r>
              <w:rPr>
                <w:rFonts w:ascii="Arial" w:cs="Arial" w:eastAsia="Arial" w:hAnsi="Arial"/>
                <w:sz w:val="13"/>
                <w:szCs w:val="13"/>
                <w:color w:val="auto"/>
              </w:rPr>
              <w:t>(269,558)</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8"/>
              <w:spacing w:after="0"/>
              <w:rPr>
                <w:sz w:val="20"/>
                <w:szCs w:val="20"/>
                <w:color w:val="auto"/>
              </w:rPr>
            </w:pPr>
            <w:r>
              <w:rPr>
                <w:rFonts w:ascii="Arial" w:cs="Arial" w:eastAsia="Arial" w:hAnsi="Arial"/>
                <w:sz w:val="13"/>
                <w:szCs w:val="13"/>
                <w:color w:val="auto"/>
              </w:rPr>
              <w:t>18,909</w:t>
            </w:r>
          </w:p>
        </w:tc>
        <w:tc>
          <w:tcPr>
            <w:tcW w:w="10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1240" w:type="dxa"/>
            <w:vAlign w:val="bottom"/>
          </w:tcPr>
          <w:p>
            <w:pPr>
              <w:jc w:val="center"/>
              <w:ind w:right="18"/>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1,226,317</w:t>
            </w:r>
          </w:p>
        </w:tc>
      </w:tr>
      <w:tr>
        <w:trPr>
          <w:trHeight w:val="203"/>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2022</w:t>
            </w:r>
          </w:p>
        </w:tc>
        <w:tc>
          <w:tcPr>
            <w:tcW w:w="1180" w:type="dxa"/>
            <w:vAlign w:val="bottom"/>
          </w:tcPr>
          <w:p>
            <w:pPr>
              <w:jc w:val="center"/>
              <w:ind w:right="58"/>
              <w:spacing w:after="0"/>
              <w:rPr>
                <w:sz w:val="20"/>
                <w:szCs w:val="20"/>
                <w:color w:val="auto"/>
              </w:rPr>
            </w:pPr>
            <w:r>
              <w:rPr>
                <w:rFonts w:ascii="Arial" w:cs="Arial" w:eastAsia="Arial" w:hAnsi="Arial"/>
                <w:sz w:val="13"/>
                <w:szCs w:val="13"/>
                <w:color w:val="auto"/>
                <w:w w:val="97"/>
              </w:rPr>
              <w:t>994,495</w:t>
            </w:r>
          </w:p>
        </w:tc>
        <w:tc>
          <w:tcPr>
            <w:tcW w:w="1220" w:type="dxa"/>
            <w:vAlign w:val="bottom"/>
          </w:tcPr>
          <w:p>
            <w:pPr>
              <w:jc w:val="right"/>
              <w:ind w:right="238"/>
              <w:spacing w:after="0"/>
              <w:rPr>
                <w:sz w:val="20"/>
                <w:szCs w:val="20"/>
                <w:color w:val="auto"/>
              </w:rPr>
            </w:pPr>
            <w:r>
              <w:rPr>
                <w:rFonts w:ascii="Arial" w:cs="Arial" w:eastAsia="Arial" w:hAnsi="Arial"/>
                <w:sz w:val="13"/>
                <w:szCs w:val="13"/>
                <w:color w:val="auto"/>
              </w:rPr>
              <w:t>(272,340)</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58"/>
              <w:spacing w:after="0"/>
              <w:rPr>
                <w:sz w:val="20"/>
                <w:szCs w:val="20"/>
                <w:color w:val="auto"/>
              </w:rPr>
            </w:pPr>
            <w:r>
              <w:rPr>
                <w:rFonts w:ascii="Arial" w:cs="Arial" w:eastAsia="Arial" w:hAnsi="Arial"/>
                <w:sz w:val="13"/>
                <w:szCs w:val="13"/>
                <w:color w:val="auto"/>
              </w:rPr>
              <w:t>(54,289)</w:t>
            </w:r>
          </w:p>
        </w:tc>
        <w:tc>
          <w:tcPr>
            <w:tcW w:w="10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1240" w:type="dxa"/>
            <w:vAlign w:val="bottom"/>
          </w:tcPr>
          <w:p>
            <w:pPr>
              <w:jc w:val="center"/>
              <w:ind w:right="18"/>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7"/>
              </w:rPr>
              <w:t>667,866</w:t>
            </w:r>
          </w:p>
        </w:tc>
      </w:tr>
      <w:tr>
        <w:trPr>
          <w:trHeight w:val="176"/>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2021</w:t>
            </w:r>
          </w:p>
        </w:tc>
        <w:tc>
          <w:tcPr>
            <w:tcW w:w="1180" w:type="dxa"/>
            <w:vAlign w:val="bottom"/>
          </w:tcPr>
          <w:p>
            <w:pPr>
              <w:jc w:val="center"/>
              <w:ind w:right="38"/>
              <w:spacing w:after="0"/>
              <w:rPr>
                <w:sz w:val="20"/>
                <w:szCs w:val="20"/>
                <w:color w:val="auto"/>
              </w:rPr>
            </w:pPr>
            <w:r>
              <w:rPr>
                <w:rFonts w:ascii="Arial" w:cs="Arial" w:eastAsia="Arial" w:hAnsi="Arial"/>
                <w:sz w:val="13"/>
                <w:szCs w:val="13"/>
                <w:color w:val="auto"/>
                <w:w w:val="96"/>
              </w:rPr>
              <w:t>2,052,134</w:t>
            </w:r>
          </w:p>
        </w:tc>
        <w:tc>
          <w:tcPr>
            <w:tcW w:w="1220" w:type="dxa"/>
            <w:vAlign w:val="bottom"/>
          </w:tcPr>
          <w:p>
            <w:pPr>
              <w:jc w:val="right"/>
              <w:ind w:right="278"/>
              <w:spacing w:after="0"/>
              <w:rPr>
                <w:sz w:val="20"/>
                <w:szCs w:val="20"/>
                <w:color w:val="auto"/>
              </w:rPr>
            </w:pPr>
            <w:r>
              <w:rPr>
                <w:rFonts w:ascii="Arial" w:cs="Arial" w:eastAsia="Arial" w:hAnsi="Arial"/>
                <w:sz w:val="13"/>
                <w:szCs w:val="13"/>
                <w:color w:val="auto"/>
              </w:rPr>
              <w:t>372,284</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w w:val="95"/>
              </w:rPr>
              <w:t>11,596</w:t>
            </w:r>
          </w:p>
        </w:tc>
        <w:tc>
          <w:tcPr>
            <w:tcW w:w="10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1240" w:type="dxa"/>
            <w:vAlign w:val="bottom"/>
          </w:tcPr>
          <w:p>
            <w:pPr>
              <w:jc w:val="center"/>
              <w:ind w:right="18"/>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2,436,014</w:t>
            </w:r>
          </w:p>
        </w:tc>
      </w:tr>
      <w:tr>
        <w:trPr>
          <w:trHeight w:val="203"/>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2020</w:t>
            </w:r>
          </w:p>
        </w:tc>
        <w:tc>
          <w:tcPr>
            <w:tcW w:w="1180" w:type="dxa"/>
            <w:vAlign w:val="bottom"/>
          </w:tcPr>
          <w:p>
            <w:pPr>
              <w:jc w:val="center"/>
              <w:ind w:right="58"/>
              <w:spacing w:after="0"/>
              <w:rPr>
                <w:sz w:val="20"/>
                <w:szCs w:val="20"/>
                <w:color w:val="auto"/>
              </w:rPr>
            </w:pPr>
            <w:r>
              <w:rPr>
                <w:rFonts w:ascii="Arial" w:cs="Arial" w:eastAsia="Arial" w:hAnsi="Arial"/>
                <w:sz w:val="13"/>
                <w:szCs w:val="13"/>
                <w:color w:val="auto"/>
                <w:w w:val="97"/>
              </w:rPr>
              <w:t>378,538</w:t>
            </w:r>
          </w:p>
        </w:tc>
        <w:tc>
          <w:tcPr>
            <w:tcW w:w="1220" w:type="dxa"/>
            <w:vAlign w:val="bottom"/>
          </w:tcPr>
          <w:p>
            <w:pPr>
              <w:jc w:val="right"/>
              <w:ind w:right="238"/>
              <w:spacing w:after="0"/>
              <w:rPr>
                <w:sz w:val="20"/>
                <w:szCs w:val="20"/>
                <w:color w:val="auto"/>
              </w:rPr>
            </w:pPr>
            <w:r>
              <w:rPr>
                <w:rFonts w:ascii="Arial" w:cs="Arial" w:eastAsia="Arial" w:hAnsi="Arial"/>
                <w:sz w:val="13"/>
                <w:szCs w:val="13"/>
                <w:color w:val="auto"/>
              </w:rPr>
              <w:t>(487,886)</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58"/>
              <w:spacing w:after="0"/>
              <w:rPr>
                <w:sz w:val="20"/>
                <w:szCs w:val="20"/>
                <w:color w:val="auto"/>
              </w:rPr>
            </w:pPr>
            <w:r>
              <w:rPr>
                <w:rFonts w:ascii="Arial" w:cs="Arial" w:eastAsia="Arial" w:hAnsi="Arial"/>
                <w:sz w:val="13"/>
                <w:szCs w:val="13"/>
                <w:color w:val="auto"/>
              </w:rPr>
              <w:t>(71,551)</w:t>
            </w:r>
          </w:p>
        </w:tc>
        <w:tc>
          <w:tcPr>
            <w:tcW w:w="10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1240" w:type="dxa"/>
            <w:vAlign w:val="bottom"/>
          </w:tcPr>
          <w:p>
            <w:pPr>
              <w:jc w:val="center"/>
              <w:ind w:right="18"/>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(180,899)</w:t>
            </w:r>
          </w:p>
        </w:tc>
      </w:tr>
    </w:tbl>
    <w:p>
      <w:pPr>
        <w:spacing w:after="0" w:line="226" w:lineRule="exact"/>
        <w:rPr>
          <w:sz w:val="20"/>
          <w:szCs w:val="20"/>
          <w:color w:val="auto"/>
        </w:rPr>
      </w:pPr>
    </w:p>
    <w:p>
      <w:pPr>
        <w:ind w:left="620" w:right="240" w:hanging="387"/>
        <w:spacing w:after="0" w:line="208" w:lineRule="auto"/>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amounts in the column “Total Shareholder Return” (column (f)) are calculated by dividing the sum of the cumulative amount of dividends for the measurement period, assuming reinvestment of all dividends, if any, and the difference between the Company’s share price at the end and the beginning of the measurement period by the Company’s share price at the beginning of the measurement period.</w:t>
      </w:r>
    </w:p>
    <w:p>
      <w:pPr>
        <w:spacing w:after="0" w:line="1" w:lineRule="exact"/>
        <w:rPr>
          <w:rFonts w:ascii="Arial" w:cs="Arial" w:eastAsia="Arial" w:hAnsi="Arial"/>
          <w:sz w:val="13"/>
          <w:szCs w:val="13"/>
          <w:color w:val="auto"/>
        </w:rPr>
      </w:pPr>
    </w:p>
    <w:p>
      <w:pPr>
        <w:ind w:left="620" w:right="220" w:hanging="387"/>
        <w:spacing w:after="0" w:line="202" w:lineRule="auto"/>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the weighted peer group Total Shareholder Return, weighted according to the respective companies’ stock market capitalization at the beginning of each period for which a return is indicated. The peer group used for this purpose is the S&amp;P Composite 1500 Apparel, Accessories &amp; Luxury Goods.</w:t>
      </w:r>
    </w:p>
    <w:p>
      <w:pPr>
        <w:ind w:left="620" w:hanging="387"/>
        <w:spacing w:after="0" w:line="216" w:lineRule="auto"/>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net income reflected in the Company’s audited financial statements for the applicable year.</w:t>
      </w:r>
    </w:p>
    <w:p>
      <w:pPr>
        <w:ind w:left="620" w:right="600" w:hanging="387"/>
        <w:spacing w:after="0" w:line="219" w:lineRule="auto"/>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Management defines and calculatesAdjusted Operating Incomeas Operating Income as calculated under generally accepted accounting principles, excluding infrequent or extraordinary items. Adjusted Operating Income is a non-GAAP measure. A reconciliation of Operating Income to Adjusted Operating Income can be found in the Appendix to this Proxy Statement.</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PAY VERSUS PERFORMANCE LIST OF IMPORTANT FINANCIAL MEASURES</w:t>
      </w:r>
    </w:p>
    <w:p>
      <w:pPr>
        <w:spacing w:after="0" w:line="78" w:lineRule="exact"/>
        <w:rPr>
          <w:sz w:val="20"/>
          <w:szCs w:val="20"/>
          <w:color w:val="auto"/>
        </w:rPr>
      </w:pPr>
    </w:p>
    <w:p>
      <w:pPr>
        <w:ind w:left="140" w:right="560"/>
        <w:spacing w:after="0" w:line="254" w:lineRule="auto"/>
        <w:rPr>
          <w:sz w:val="20"/>
          <w:szCs w:val="20"/>
          <w:color w:val="auto"/>
        </w:rPr>
      </w:pPr>
      <w:r>
        <w:rPr>
          <w:rFonts w:ascii="Arial" w:cs="Arial" w:eastAsia="Arial" w:hAnsi="Arial"/>
          <w:sz w:val="20"/>
          <w:szCs w:val="20"/>
          <w:color w:val="auto"/>
        </w:rPr>
        <w:t>The list below consists of our most important performance measures used to link “Compensation Actually Paid” to our NEOs for our performance, over the fiscal year endingDecember 28, 2024.These measures are used to determine annual incentive payouts and are also key metrics under our performance-based restricted stock awards. The performance measures included in this list are not ranked by relative importance:</w:t>
      </w:r>
    </w:p>
    <w:p>
      <w:pPr>
        <w:spacing w:after="0" w:line="79" w:lineRule="exact"/>
        <w:rPr>
          <w:sz w:val="20"/>
          <w:szCs w:val="20"/>
          <w:color w:val="auto"/>
        </w:rPr>
      </w:pPr>
    </w:p>
    <w:p>
      <w:pPr>
        <w:ind w:left="420" w:hanging="187"/>
        <w:spacing w:after="0"/>
        <w:tabs>
          <w:tab w:leader="none" w:pos="420" w:val="left"/>
        </w:tabs>
        <w:numPr>
          <w:ilvl w:val="0"/>
          <w:numId w:val="76"/>
        </w:numPr>
        <w:rPr>
          <w:rFonts w:ascii="Arial" w:cs="Arial" w:eastAsia="Arial" w:hAnsi="Arial"/>
          <w:sz w:val="20"/>
          <w:szCs w:val="20"/>
          <w:color w:val="123054"/>
        </w:rPr>
      </w:pPr>
      <w:r>
        <w:rPr>
          <w:rFonts w:ascii="Arial" w:cs="Arial" w:eastAsia="Arial" w:hAnsi="Arial"/>
          <w:sz w:val="20"/>
          <w:szCs w:val="20"/>
          <w:color w:val="auto"/>
        </w:rPr>
        <w:t>Net Sales</w:t>
      </w:r>
    </w:p>
    <w:p>
      <w:pPr>
        <w:spacing w:after="0" w:line="67" w:lineRule="exact"/>
        <w:rPr>
          <w:rFonts w:ascii="Arial" w:cs="Arial" w:eastAsia="Arial" w:hAnsi="Arial"/>
          <w:sz w:val="20"/>
          <w:szCs w:val="20"/>
          <w:color w:val="123054"/>
        </w:rPr>
      </w:pPr>
    </w:p>
    <w:p>
      <w:pPr>
        <w:ind w:left="420" w:hanging="187"/>
        <w:spacing w:after="0"/>
        <w:tabs>
          <w:tab w:leader="none" w:pos="420" w:val="left"/>
        </w:tabs>
        <w:numPr>
          <w:ilvl w:val="0"/>
          <w:numId w:val="76"/>
        </w:numPr>
        <w:rPr>
          <w:rFonts w:ascii="Arial" w:cs="Arial" w:eastAsia="Arial" w:hAnsi="Arial"/>
          <w:sz w:val="20"/>
          <w:szCs w:val="20"/>
          <w:color w:val="123054"/>
        </w:rPr>
      </w:pPr>
      <w:r>
        <w:rPr>
          <w:rFonts w:ascii="Arial" w:cs="Arial" w:eastAsia="Arial" w:hAnsi="Arial"/>
          <w:sz w:val="20"/>
          <w:szCs w:val="20"/>
          <w:color w:val="auto"/>
        </w:rPr>
        <w:t>Adjusted Operating Income</w:t>
      </w:r>
    </w:p>
    <w:p>
      <w:pPr>
        <w:spacing w:after="0" w:line="80" w:lineRule="exact"/>
        <w:rPr>
          <w:rFonts w:ascii="Arial" w:cs="Arial" w:eastAsia="Arial" w:hAnsi="Arial"/>
          <w:sz w:val="20"/>
          <w:szCs w:val="20"/>
          <w:color w:val="123054"/>
        </w:rPr>
      </w:pPr>
    </w:p>
    <w:p>
      <w:pPr>
        <w:ind w:left="420" w:hanging="187"/>
        <w:spacing w:after="0"/>
        <w:tabs>
          <w:tab w:leader="none" w:pos="420" w:val="left"/>
        </w:tabs>
        <w:numPr>
          <w:ilvl w:val="0"/>
          <w:numId w:val="76"/>
        </w:numPr>
        <w:rPr>
          <w:rFonts w:ascii="Arial" w:cs="Arial" w:eastAsia="Arial" w:hAnsi="Arial"/>
          <w:sz w:val="20"/>
          <w:szCs w:val="20"/>
          <w:color w:val="123054"/>
        </w:rPr>
      </w:pPr>
      <w:r>
        <w:rPr>
          <w:rFonts w:ascii="Arial" w:cs="Arial" w:eastAsia="Arial" w:hAnsi="Arial"/>
          <w:sz w:val="20"/>
          <w:szCs w:val="20"/>
          <w:color w:val="auto"/>
        </w:rPr>
        <w:t>Adjusted Diluted EPS</w:t>
      </w:r>
    </w:p>
    <w:p>
      <w:pPr>
        <w:spacing w:after="0" w:line="107" w:lineRule="exact"/>
        <w:rPr>
          <w:rFonts w:ascii="Arial" w:cs="Arial" w:eastAsia="Arial" w:hAnsi="Arial"/>
          <w:sz w:val="20"/>
          <w:szCs w:val="20"/>
          <w:color w:val="123054"/>
        </w:rPr>
      </w:pPr>
    </w:p>
    <w:p>
      <w:pPr>
        <w:ind w:left="420" w:hanging="187"/>
        <w:spacing w:after="0"/>
        <w:tabs>
          <w:tab w:leader="none" w:pos="420" w:val="left"/>
        </w:tabs>
        <w:numPr>
          <w:ilvl w:val="0"/>
          <w:numId w:val="76"/>
        </w:numPr>
        <w:rPr>
          <w:rFonts w:ascii="Arial" w:cs="Arial" w:eastAsia="Arial" w:hAnsi="Arial"/>
          <w:sz w:val="20"/>
          <w:szCs w:val="20"/>
          <w:color w:val="123054"/>
        </w:rPr>
      </w:pPr>
      <w:r>
        <w:rPr>
          <w:rFonts w:ascii="Arial" w:cs="Arial" w:eastAsia="Arial" w:hAnsi="Arial"/>
          <w:sz w:val="20"/>
          <w:szCs w:val="20"/>
          <w:color w:val="auto"/>
        </w:rPr>
        <w:t>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751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575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spacing w:after="0" w:line="254" w:lineRule="auto"/>
        <w:rPr>
          <w:sz w:val="20"/>
          <w:szCs w:val="20"/>
          <w:color w:val="auto"/>
        </w:rPr>
      </w:pPr>
      <w:r>
        <w:rPr>
          <w:rFonts w:ascii="Arial" w:cs="Arial" w:eastAsia="Arial" w:hAnsi="Arial"/>
          <w:sz w:val="20"/>
          <w:szCs w:val="20"/>
          <w:color w:val="auto"/>
        </w:rPr>
        <w:t>Net Sales and Operating Cash Flow are calculated in accordance with generally accepted accounting principles. As noted above, management defines and calculates Adjusted Operating Income as Operating Income as calculated under generally accepted accounting principles, excluding infrequent or extraordinary items, and management defines Adjusted Diluted EPS as Diluted EPS as calculated under generally accepted accounting principles, excluding infrequent or extraordinary items.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PAY VERSUS PERFORMANCE DESCRIPTIVE DISCLOSURE</w:t>
      </w:r>
    </w:p>
    <w:p>
      <w:pPr>
        <w:spacing w:after="0" w:line="78" w:lineRule="exact"/>
        <w:rPr>
          <w:sz w:val="20"/>
          <w:szCs w:val="20"/>
          <w:color w:val="auto"/>
        </w:rPr>
      </w:pPr>
    </w:p>
    <w:p>
      <w:pPr>
        <w:jc w:val="both"/>
        <w:ind w:left="140" w:right="140"/>
        <w:spacing w:after="0" w:line="282" w:lineRule="auto"/>
        <w:rPr>
          <w:sz w:val="20"/>
          <w:szCs w:val="20"/>
          <w:color w:val="auto"/>
        </w:rPr>
      </w:pPr>
      <w:r>
        <w:rPr>
          <w:rFonts w:ascii="Arial" w:cs="Arial" w:eastAsia="Arial" w:hAnsi="Arial"/>
          <w:sz w:val="19"/>
          <w:szCs w:val="19"/>
          <w:color w:val="auto"/>
        </w:rPr>
        <w:t>Actual compensation paid ultimately depends on 1) the ability to meet the specific Company targets (net sales, adjusted operating income, adjusted diluted EPS, and operating cash flow) and/or the progress in meeting the specific Company targets and 2) the performance of the Company’s stock price.</w:t>
      </w:r>
    </w:p>
    <w:p>
      <w:pPr>
        <w:spacing w:after="0" w:line="148" w:lineRule="exact"/>
        <w:rPr>
          <w:sz w:val="20"/>
          <w:szCs w:val="20"/>
          <w:color w:val="auto"/>
        </w:rPr>
      </w:pPr>
    </w:p>
    <w:p>
      <w:pPr>
        <w:ind w:left="140" w:right="120"/>
        <w:spacing w:after="0" w:line="262" w:lineRule="auto"/>
        <w:rPr>
          <w:sz w:val="20"/>
          <w:szCs w:val="20"/>
          <w:color w:val="auto"/>
        </w:rPr>
      </w:pPr>
      <w:r>
        <w:rPr>
          <w:rFonts w:ascii="Arial" w:cs="Arial" w:eastAsia="Arial" w:hAnsi="Arial"/>
          <w:sz w:val="20"/>
          <w:szCs w:val="20"/>
          <w:color w:val="auto"/>
        </w:rPr>
        <w:t>The following graph summarizes the relationship between Total Shareholder Return (“TSR”) and executive compensation actually paid to the CEO and the Non-CEO NEOs and the relationship between the TSR of the Company and its peer group over the last four completed years:</w:t>
      </w:r>
    </w:p>
    <w:p>
      <w:pPr>
        <w:sectPr>
          <w:pgSz w:w="11900" w:h="16838" w:orient="portrait"/>
          <w:cols w:equalWidth="0" w:num="1">
            <w:col w:w="9360"/>
          </w:cols>
          <w:pgMar w:left="1440" w:top="85"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following graph summarizes the relationship between the adjusted operating income and net</w:t>
      </w:r>
    </w:p>
    <w:p>
      <w:pPr>
        <w:sectPr>
          <w:pgSz w:w="11900" w:h="16838" w:orient="portrait"/>
          <w:cols w:equalWidth="0" w:num="1">
            <w:col w:w="9360"/>
          </w:cols>
          <w:pgMar w:left="1440" w:top="85" w:right="1099" w:bottom="0" w:gutter="0" w:footer="0" w:header="0"/>
          <w:type w:val="continuous"/>
        </w:sectPr>
      </w:pPr>
    </w:p>
    <w:bookmarkStart w:id="60" w:name="page61"/>
    <w:bookmarkEnd w:id="60"/>
    <w:p>
      <w:pPr>
        <w:ind w:left="140" w:right="79"/>
        <w:spacing w:after="0" w:line="221" w:lineRule="auto"/>
        <w:rPr>
          <w:sz w:val="20"/>
          <w:szCs w:val="20"/>
          <w:color w:val="auto"/>
        </w:rPr>
      </w:pPr>
      <w:r>
        <w:rPr>
          <w:rFonts w:ascii="Arial" w:cs="Arial" w:eastAsia="Arial" w:hAnsi="Arial"/>
          <w:sz w:val="20"/>
          <w:szCs w:val="20"/>
          <w:color w:val="auto"/>
        </w:rPr>
        <w:t>income performance measures included in the table and the executive compensation actually paid to the CEO and the Non-CEO NEOs over the last four completed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-245745</wp:posOffset>
            </wp:positionV>
            <wp:extent cx="6810375" cy="31051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310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7328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73285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5278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152781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800"/>
          </w:cols>
          <w:pgMar w:left="1440" w:top="1440" w:right="659"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line="307" w:lineRule="auto"/>
        <w:rPr>
          <w:sz w:val="20"/>
          <w:szCs w:val="20"/>
          <w:color w:val="auto"/>
        </w:rPr>
      </w:pPr>
      <w:r>
        <w:rPr>
          <w:rFonts w:ascii="Arial" w:cs="Arial" w:eastAsia="Arial" w:hAnsi="Arial"/>
          <w:sz w:val="32"/>
          <w:szCs w:val="32"/>
          <w:b w:val="1"/>
          <w:bCs w:val="1"/>
          <w:color w:val="123054"/>
        </w:rPr>
        <w:t>TRANSACTIONS WITH RELATED PERSONS, PROMOTERS, AN CERTAIN CONTROL PERSONS</w:t>
      </w:r>
    </w:p>
    <w:p>
      <w:pPr>
        <w:spacing w:after="0" w:line="53" w:lineRule="exact"/>
        <w:rPr>
          <w:sz w:val="20"/>
          <w:szCs w:val="20"/>
          <w:color w:val="auto"/>
        </w:rPr>
      </w:pPr>
    </w:p>
    <w:p>
      <w:pPr>
        <w:jc w:val="both"/>
        <w:ind w:left="140" w:right="1240"/>
        <w:spacing w:after="0" w:line="244" w:lineRule="auto"/>
        <w:rPr>
          <w:sz w:val="20"/>
          <w:szCs w:val="20"/>
          <w:color w:val="auto"/>
        </w:rPr>
      </w:pPr>
      <w:r>
        <w:rPr>
          <w:rFonts w:ascii="Arial" w:cs="Arial" w:eastAsia="Arial" w:hAnsi="Arial"/>
          <w:sz w:val="20"/>
          <w:szCs w:val="20"/>
          <w:color w:val="auto"/>
        </w:rPr>
        <w:t>The Company has a written policy that requires all transactions with related persons required to be disclosed under Item 404(a) of Regulation S-K, promulgated under the Exchange Act, to be reviewed by our Chief Financial Officer and General Counsel (or their designees) with our Audit Committee and approved by our Audit Committee. There were no such transactions during fiscal 2024.</w:t>
      </w:r>
    </w:p>
    <w:p>
      <w:pPr>
        <w:spacing w:after="0" w:line="167" w:lineRule="exact"/>
        <w:rPr>
          <w:sz w:val="20"/>
          <w:szCs w:val="20"/>
          <w:color w:val="auto"/>
        </w:rPr>
      </w:pPr>
    </w:p>
    <w:p>
      <w:pPr>
        <w:ind w:left="140" w:right="720"/>
        <w:spacing w:after="0" w:line="256" w:lineRule="auto"/>
        <w:rPr>
          <w:sz w:val="20"/>
          <w:szCs w:val="20"/>
          <w:color w:val="auto"/>
        </w:rPr>
      </w:pPr>
      <w:r>
        <w:rPr>
          <w:rFonts w:ascii="Arial" w:cs="Arial" w:eastAsia="Arial" w:hAnsi="Arial"/>
          <w:sz w:val="19"/>
          <w:szCs w:val="19"/>
          <w:color w:val="auto"/>
        </w:rPr>
        <w:t>The Company considers the following to be related parties: any director or executive officer of the Company; any nominee for election as a director; any security holder who is known to the Company to own more than five percent of any class of the Company’s voting securities; and any member of the immediate family of any of the parties listed above including such party’s spouse, parents, children, siblings, mothers and fathers-in-law, sons and daughters-in-law, and brothers and sisters-in-law.</w:t>
      </w:r>
    </w:p>
    <w:p>
      <w:pPr>
        <w:sectPr>
          <w:pgSz w:w="11900" w:h="16838" w:orient="portrait"/>
          <w:cols w:equalWidth="0" w:num="1">
            <w:col w:w="9800"/>
          </w:cols>
          <w:pgMar w:left="1440" w:top="1440" w:right="659"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9800"/>
          </w:cols>
          <w:pgMar w:left="1440" w:top="1440" w:right="659" w:bottom="149" w:gutter="0" w:footer="0" w:header="0"/>
          <w:type w:val="continuous"/>
        </w:sectPr>
      </w:pPr>
    </w:p>
    <w:bookmarkStart w:id="62" w:name="page63"/>
    <w:bookmarkEnd w:id="62"/>
    <w:p>
      <w:pPr>
        <w:ind w:left="140"/>
        <w:spacing w:after="0" w:line="307" w:lineRule="auto"/>
        <w:rPr>
          <w:sz w:val="20"/>
          <w:szCs w:val="20"/>
          <w:color w:val="auto"/>
        </w:rPr>
      </w:pPr>
      <w:r>
        <w:rPr>
          <w:rFonts w:ascii="Arial" w:cs="Arial" w:eastAsia="Arial" w:hAnsi="Arial"/>
          <w:sz w:val="32"/>
          <w:szCs w:val="32"/>
          <w:b w:val="1"/>
          <w:bCs w:val="1"/>
          <w:color w:val="123054"/>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865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8865870"/>
                    </a:xfrm>
                    <a:prstGeom prst="rect">
                      <a:avLst/>
                    </a:prstGeom>
                    <a:noFill/>
                  </pic:spPr>
                </pic:pic>
              </a:graphicData>
            </a:graphic>
          </wp:anchor>
        </w:drawing>
        <w:t>SECURITIES OWNERSHIP OF CERTAIN BENEFICIAL OWNERS, DIRECTORS, AND EXECUTIVE OFFICERS</w:t>
      </w:r>
    </w:p>
    <w:p>
      <w:pPr>
        <w:spacing w:after="0" w:line="53" w:lineRule="exact"/>
        <w:rPr>
          <w:sz w:val="20"/>
          <w:szCs w:val="20"/>
          <w:color w:val="auto"/>
        </w:rPr>
      </w:pPr>
    </w:p>
    <w:p>
      <w:pPr>
        <w:ind w:left="140" w:right="780"/>
        <w:spacing w:after="0" w:line="253" w:lineRule="auto"/>
        <w:rPr>
          <w:sz w:val="20"/>
          <w:szCs w:val="20"/>
          <w:color w:val="auto"/>
        </w:rPr>
      </w:pPr>
      <w:r>
        <w:rPr>
          <w:rFonts w:ascii="Arial" w:cs="Arial" w:eastAsia="Arial" w:hAnsi="Arial"/>
          <w:sz w:val="19"/>
          <w:szCs w:val="19"/>
          <w:color w:val="auto"/>
        </w:rPr>
        <w:t>The following table sets forth the number of shares of Carter’s common stock owned by each of the following parties as of the record date ofMarch 20, 2025, or as of such other date as indicated: (a) each person known by Carter’s to own beneficially more than five percent of the outstanding common stock;</w:t>
      </w:r>
    </w:p>
    <w:p>
      <w:pPr>
        <w:spacing w:after="0" w:line="2" w:lineRule="exact"/>
        <w:rPr>
          <w:sz w:val="20"/>
          <w:szCs w:val="20"/>
          <w:color w:val="auto"/>
        </w:rPr>
      </w:pPr>
    </w:p>
    <w:p>
      <w:pPr>
        <w:jc w:val="both"/>
        <w:ind w:left="140" w:right="660" w:hanging="10"/>
        <w:spacing w:after="0" w:line="279" w:lineRule="auto"/>
        <w:tabs>
          <w:tab w:leader="none" w:pos="437"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NEOs; (c) each director; and (d) all directors and executive officers as a group. Unless otherwise indicated below, the holder’s address is 3438 Peachtree Road NE, Suite 1800, Atlanta, Georgia 30326.</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5760" w:type="dxa"/>
            <w:vAlign w:val="bottom"/>
            <w:tcBorders>
              <w:right w:val="single" w:sz="8" w:color="123054"/>
            </w:tcBorders>
            <w:shd w:val="clear" w:color="auto" w:fill="123054"/>
          </w:tcPr>
          <w:p>
            <w:pPr>
              <w:ind w:left="60"/>
              <w:spacing w:after="0"/>
              <w:rPr>
                <w:sz w:val="20"/>
                <w:szCs w:val="20"/>
                <w:color w:val="auto"/>
              </w:rPr>
            </w:pPr>
            <w:r>
              <w:rPr>
                <w:rFonts w:ascii="Arial" w:cs="Arial" w:eastAsia="Arial" w:hAnsi="Arial"/>
                <w:sz w:val="18"/>
                <w:szCs w:val="18"/>
                <w:b w:val="1"/>
                <w:bCs w:val="1"/>
                <w:color w:val="FBFBFB"/>
              </w:rPr>
              <w:t>Name of Beneficial Owner</w:t>
            </w:r>
          </w:p>
        </w:tc>
        <w:tc>
          <w:tcPr>
            <w:tcW w:w="1460" w:type="dxa"/>
            <w:vAlign w:val="bottom"/>
            <w:tcBorders>
              <w:right w:val="single" w:sz="8" w:color="123054"/>
            </w:tcBorders>
            <w:shd w:val="clear" w:color="auto" w:fill="123054"/>
          </w:tcPr>
          <w:p>
            <w:pPr>
              <w:jc w:val="right"/>
              <w:ind w:right="770"/>
              <w:spacing w:after="0"/>
              <w:rPr>
                <w:sz w:val="20"/>
                <w:szCs w:val="20"/>
                <w:color w:val="auto"/>
              </w:rPr>
            </w:pPr>
            <w:r>
              <w:rPr>
                <w:rFonts w:ascii="Arial" w:cs="Arial" w:eastAsia="Arial" w:hAnsi="Arial"/>
                <w:sz w:val="18"/>
                <w:szCs w:val="18"/>
                <w:b w:val="1"/>
                <w:bCs w:val="1"/>
                <w:color w:val="FBFBFB"/>
                <w:w w:val="96"/>
              </w:rPr>
              <w:t>Shares</w:t>
            </w:r>
          </w:p>
        </w:tc>
        <w:tc>
          <w:tcPr>
            <w:tcW w:w="1540" w:type="dxa"/>
            <w:vAlign w:val="bottom"/>
            <w:shd w:val="clear" w:color="auto" w:fill="123054"/>
          </w:tcPr>
          <w:p>
            <w:pPr>
              <w:jc w:val="right"/>
              <w:ind w:right="790"/>
              <w:spacing w:after="0"/>
              <w:rPr>
                <w:sz w:val="20"/>
                <w:szCs w:val="20"/>
                <w:color w:val="auto"/>
              </w:rPr>
            </w:pPr>
            <w:r>
              <w:rPr>
                <w:rFonts w:ascii="Arial" w:cs="Arial" w:eastAsia="Arial" w:hAnsi="Arial"/>
                <w:sz w:val="18"/>
                <w:szCs w:val="18"/>
                <w:b w:val="1"/>
                <w:bCs w:val="1"/>
                <w:color w:val="FBFBFB"/>
                <w:w w:val="96"/>
              </w:rPr>
              <w:t>Percent</w:t>
            </w:r>
          </w:p>
        </w:tc>
      </w:tr>
      <w:tr>
        <w:trPr>
          <w:trHeight w:val="261"/>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BlackRock, Inc. (1)</w:t>
            </w:r>
          </w:p>
        </w:tc>
        <w:tc>
          <w:tcPr>
            <w:tcW w:w="1460" w:type="dxa"/>
            <w:vAlign w:val="bottom"/>
            <w:tcBorders>
              <w:right w:val="single" w:sz="8" w:color="123054"/>
            </w:tcBorders>
          </w:tcPr>
          <w:p>
            <w:pPr>
              <w:jc w:val="center"/>
              <w:spacing w:after="0"/>
              <w:rPr>
                <w:sz w:val="20"/>
                <w:szCs w:val="20"/>
                <w:color w:val="auto"/>
              </w:rPr>
            </w:pPr>
            <w:r>
              <w:rPr>
                <w:rFonts w:ascii="Arial" w:cs="Arial" w:eastAsia="Arial" w:hAnsi="Arial"/>
                <w:sz w:val="18"/>
                <w:szCs w:val="18"/>
                <w:color w:val="auto"/>
                <w:w w:val="99"/>
              </w:rPr>
              <w:t>4,442,539</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12.3%</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The Vanguard Group, Inc. (2)</w:t>
            </w:r>
          </w:p>
        </w:tc>
        <w:tc>
          <w:tcPr>
            <w:tcW w:w="1460" w:type="dxa"/>
            <w:vAlign w:val="bottom"/>
            <w:tcBorders>
              <w:right w:val="single" w:sz="8" w:color="123054"/>
            </w:tcBorders>
          </w:tcPr>
          <w:p>
            <w:pPr>
              <w:jc w:val="center"/>
              <w:spacing w:after="0"/>
              <w:rPr>
                <w:sz w:val="20"/>
                <w:szCs w:val="20"/>
                <w:color w:val="auto"/>
              </w:rPr>
            </w:pPr>
            <w:r>
              <w:rPr>
                <w:rFonts w:ascii="Arial" w:cs="Arial" w:eastAsia="Arial" w:hAnsi="Arial"/>
                <w:sz w:val="18"/>
                <w:szCs w:val="18"/>
                <w:color w:val="auto"/>
                <w:w w:val="99"/>
              </w:rPr>
              <w:t>3,652,006</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10.1%</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JPMorgan Chase &amp; Co. (3)</w:t>
            </w:r>
          </w:p>
        </w:tc>
        <w:tc>
          <w:tcPr>
            <w:tcW w:w="1460" w:type="dxa"/>
            <w:vAlign w:val="bottom"/>
            <w:tcBorders>
              <w:right w:val="single" w:sz="8" w:color="123054"/>
            </w:tcBorders>
          </w:tcPr>
          <w:p>
            <w:pPr>
              <w:jc w:val="center"/>
              <w:spacing w:after="0"/>
              <w:rPr>
                <w:sz w:val="20"/>
                <w:szCs w:val="20"/>
                <w:color w:val="auto"/>
              </w:rPr>
            </w:pPr>
            <w:r>
              <w:rPr>
                <w:rFonts w:ascii="Arial" w:cs="Arial" w:eastAsia="Arial" w:hAnsi="Arial"/>
                <w:sz w:val="18"/>
                <w:szCs w:val="18"/>
                <w:color w:val="auto"/>
                <w:w w:val="99"/>
              </w:rPr>
              <w:t>2,838,591</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7.8%</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First Trust Portfolios L.P. (4)</w:t>
            </w:r>
          </w:p>
        </w:tc>
        <w:tc>
          <w:tcPr>
            <w:tcW w:w="1460" w:type="dxa"/>
            <w:vAlign w:val="bottom"/>
            <w:tcBorders>
              <w:right w:val="single" w:sz="8" w:color="123054"/>
            </w:tcBorders>
          </w:tcPr>
          <w:p>
            <w:pPr>
              <w:jc w:val="center"/>
              <w:spacing w:after="0"/>
              <w:rPr>
                <w:sz w:val="20"/>
                <w:szCs w:val="20"/>
                <w:color w:val="auto"/>
              </w:rPr>
            </w:pPr>
            <w:r>
              <w:rPr>
                <w:rFonts w:ascii="Arial" w:cs="Arial" w:eastAsia="Arial" w:hAnsi="Arial"/>
                <w:sz w:val="18"/>
                <w:szCs w:val="18"/>
                <w:color w:val="auto"/>
                <w:w w:val="99"/>
              </w:rPr>
              <w:t>1,952,194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5.4%</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Michael D. Casey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529,859</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1.5%</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Kendra D. Krugman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100,861</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Brian J. Lynch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16,880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Douglas C. Palladini (6)</w:t>
            </w:r>
          </w:p>
        </w:tc>
        <w:tc>
          <w:tcPr>
            <w:tcW w:w="1460" w:type="dxa"/>
            <w:vAlign w:val="bottom"/>
            <w:tcBorders>
              <w:right w:val="single" w:sz="8" w:color="123054"/>
            </w:tcBorders>
          </w:tcPr>
          <w:p>
            <w:pPr>
              <w:jc w:val="cente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Allison M. Peterson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55,280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Raghu R. Sagi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29,844</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Richard F. Westenberger (5)</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162,157</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Rochester Anderson, Jr. (7)</w:t>
            </w:r>
          </w:p>
        </w:tc>
        <w:tc>
          <w:tcPr>
            <w:tcW w:w="1460" w:type="dxa"/>
            <w:vAlign w:val="bottom"/>
            <w:tcBorders>
              <w:right w:val="single" w:sz="8" w:color="123054"/>
            </w:tcBorders>
          </w:tcPr>
          <w:p>
            <w:pPr>
              <w:jc w:val="right"/>
              <w:ind w:right="290"/>
              <w:spacing w:after="0"/>
              <w:rPr>
                <w:sz w:val="20"/>
                <w:szCs w:val="20"/>
                <w:color w:val="auto"/>
              </w:rPr>
            </w:pPr>
            <w:r>
              <w:rPr>
                <w:rFonts w:ascii="Arial" w:cs="Arial" w:eastAsia="Arial" w:hAnsi="Arial"/>
                <w:sz w:val="18"/>
                <w:szCs w:val="18"/>
                <w:color w:val="auto"/>
              </w:rPr>
              <w:t>8,628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Jeffrey H. Black (7)</w:t>
            </w:r>
          </w:p>
        </w:tc>
        <w:tc>
          <w:tcPr>
            <w:tcW w:w="1460" w:type="dxa"/>
            <w:vAlign w:val="bottom"/>
            <w:tcBorders>
              <w:right w:val="single" w:sz="8" w:color="123054"/>
            </w:tcBorders>
          </w:tcPr>
          <w:p>
            <w:pPr>
              <w:jc w:val="right"/>
              <w:ind w:right="290"/>
              <w:spacing w:after="0"/>
              <w:rPr>
                <w:sz w:val="20"/>
                <w:szCs w:val="20"/>
                <w:color w:val="auto"/>
              </w:rPr>
            </w:pPr>
            <w:r>
              <w:rPr>
                <w:rFonts w:ascii="Arial" w:cs="Arial" w:eastAsia="Arial" w:hAnsi="Arial"/>
                <w:sz w:val="18"/>
                <w:szCs w:val="18"/>
                <w:color w:val="auto"/>
              </w:rPr>
              <w:t>8,628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Hali Borenstein</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12,519</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Luis Borgen</w:t>
            </w:r>
          </w:p>
        </w:tc>
        <w:tc>
          <w:tcPr>
            <w:tcW w:w="1460" w:type="dxa"/>
            <w:vAlign w:val="bottom"/>
            <w:tcBorders>
              <w:right w:val="single" w:sz="8" w:color="123054"/>
            </w:tcBorders>
          </w:tcPr>
          <w:p>
            <w:pPr>
              <w:jc w:val="right"/>
              <w:ind w:right="290"/>
              <w:spacing w:after="0"/>
              <w:rPr>
                <w:sz w:val="20"/>
                <w:szCs w:val="20"/>
                <w:color w:val="auto"/>
              </w:rPr>
            </w:pPr>
            <w:r>
              <w:rPr>
                <w:rFonts w:ascii="Arial" w:cs="Arial" w:eastAsia="Arial" w:hAnsi="Arial"/>
                <w:sz w:val="18"/>
                <w:szCs w:val="18"/>
                <w:color w:val="auto"/>
              </w:rPr>
              <w:t>8,996</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Jevin S. Eagle</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18,241</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Mark P. Hipp</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12,509</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William J. Montgoris</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45,203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Stacey S. Rauch (7)</w:t>
            </w:r>
          </w:p>
        </w:tc>
        <w:tc>
          <w:tcPr>
            <w:tcW w:w="1460" w:type="dxa"/>
            <w:vAlign w:val="bottom"/>
            <w:tcBorders>
              <w:right w:val="single" w:sz="8" w:color="123054"/>
            </w:tcBorders>
          </w:tcPr>
          <w:p>
            <w:pPr>
              <w:jc w:val="right"/>
              <w:ind w:right="290"/>
              <w:spacing w:after="0"/>
              <w:rPr>
                <w:sz w:val="20"/>
                <w:szCs w:val="20"/>
                <w:color w:val="auto"/>
              </w:rPr>
            </w:pPr>
            <w:r>
              <w:rPr>
                <w:rFonts w:ascii="Arial" w:cs="Arial" w:eastAsia="Arial" w:hAnsi="Arial"/>
                <w:sz w:val="18"/>
                <w:szCs w:val="18"/>
                <w:color w:val="auto"/>
              </w:rPr>
              <w:t>8,628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Gretchen W. Schar</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13,066</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56"/>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Stephanie P. Stahl (7)</w:t>
            </w:r>
          </w:p>
        </w:tc>
        <w:tc>
          <w:tcPr>
            <w:tcW w:w="1460" w:type="dxa"/>
            <w:vAlign w:val="bottom"/>
            <w:tcBorders>
              <w:right w:val="single" w:sz="8" w:color="123054"/>
            </w:tcBorders>
          </w:tcPr>
          <w:p>
            <w:pPr>
              <w:jc w:val="right"/>
              <w:ind w:right="290"/>
              <w:spacing w:after="0"/>
              <w:rPr>
                <w:sz w:val="20"/>
                <w:szCs w:val="20"/>
                <w:color w:val="auto"/>
              </w:rPr>
            </w:pPr>
            <w:r>
              <w:rPr>
                <w:rFonts w:ascii="Arial" w:cs="Arial" w:eastAsia="Arial" w:hAnsi="Arial"/>
                <w:sz w:val="18"/>
                <w:szCs w:val="18"/>
                <w:color w:val="auto"/>
              </w:rPr>
              <w:t>8,628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34"/>
        </w:trPr>
        <w:tc>
          <w:tcPr>
            <w:tcW w:w="5760" w:type="dxa"/>
            <w:vAlign w:val="bottom"/>
            <w:tcBorders>
              <w:right w:val="single" w:sz="8" w:color="123054"/>
            </w:tcBorders>
          </w:tcPr>
          <w:p>
            <w:pPr>
              <w:ind w:left="140"/>
              <w:spacing w:after="0"/>
              <w:rPr>
                <w:sz w:val="20"/>
                <w:szCs w:val="20"/>
                <w:color w:val="auto"/>
              </w:rPr>
            </w:pPr>
            <w:r>
              <w:rPr>
                <w:rFonts w:ascii="Arial" w:cs="Arial" w:eastAsia="Arial" w:hAnsi="Arial"/>
                <w:sz w:val="18"/>
                <w:szCs w:val="18"/>
                <w:color w:val="auto"/>
              </w:rPr>
              <w:t>All directors, including nominees, and current executive officers as a</w:t>
            </w:r>
          </w:p>
        </w:tc>
        <w:tc>
          <w:tcPr>
            <w:tcW w:w="1460" w:type="dxa"/>
            <w:vAlign w:val="bottom"/>
            <w:tcBorders>
              <w:right w:val="single" w:sz="8" w:color="123054"/>
            </w:tcBorders>
          </w:tcPr>
          <w:p>
            <w:pPr>
              <w:jc w:val="right"/>
              <w:ind w:right="270"/>
              <w:spacing w:after="0"/>
              <w:rPr>
                <w:sz w:val="20"/>
                <w:szCs w:val="20"/>
                <w:color w:val="auto"/>
              </w:rPr>
            </w:pPr>
            <w:r>
              <w:rPr>
                <w:rFonts w:ascii="Arial" w:cs="Arial" w:eastAsia="Arial" w:hAnsi="Arial"/>
                <w:sz w:val="18"/>
                <w:szCs w:val="18"/>
                <w:color w:val="auto"/>
              </w:rPr>
              <w:t>733,405</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2.0%</w:t>
            </w:r>
          </w:p>
        </w:tc>
      </w:tr>
      <w:tr>
        <w:trPr>
          <w:trHeight w:val="235"/>
        </w:trPr>
        <w:tc>
          <w:tcPr>
            <w:tcW w:w="5760" w:type="dxa"/>
            <w:vAlign w:val="bottom"/>
            <w:tcBorders>
              <w:bottom w:val="single" w:sz="8" w:color="123054"/>
              <w:right w:val="single" w:sz="8" w:color="123054"/>
            </w:tcBorders>
          </w:tcPr>
          <w:p>
            <w:pPr>
              <w:ind w:left="140"/>
              <w:spacing w:after="0"/>
              <w:rPr>
                <w:sz w:val="20"/>
                <w:szCs w:val="20"/>
                <w:color w:val="auto"/>
              </w:rPr>
            </w:pPr>
            <w:r>
              <w:rPr>
                <w:rFonts w:ascii="Arial" w:cs="Arial" w:eastAsia="Arial" w:hAnsi="Arial"/>
                <w:sz w:val="18"/>
                <w:szCs w:val="18"/>
                <w:color w:val="auto"/>
              </w:rPr>
              <w:t>group (20 persons) (5)</w:t>
            </w:r>
          </w:p>
        </w:tc>
        <w:tc>
          <w:tcPr>
            <w:tcW w:w="1460" w:type="dxa"/>
            <w:vAlign w:val="bottom"/>
            <w:tcBorders>
              <w:bottom w:val="single" w:sz="8" w:color="123054"/>
              <w:right w:val="single" w:sz="8" w:color="123054"/>
            </w:tcBorders>
          </w:tcPr>
          <w:p>
            <w:pPr>
              <w:spacing w:after="0"/>
              <w:rPr>
                <w:sz w:val="20"/>
                <w:szCs w:val="20"/>
                <w:color w:val="auto"/>
              </w:rPr>
            </w:pPr>
          </w:p>
        </w:tc>
        <w:tc>
          <w:tcPr>
            <w:tcW w:w="1540" w:type="dxa"/>
            <w:vAlign w:val="bottom"/>
            <w:tcBorders>
              <w:bottom w:val="single" w:sz="8" w:color="123054"/>
            </w:tcBorders>
          </w:tcPr>
          <w:p>
            <w:pPr>
              <w:spacing w:after="0"/>
              <w:rPr>
                <w:sz w:val="20"/>
                <w:szCs w:val="20"/>
                <w:color w:val="auto"/>
              </w:rPr>
            </w:pPr>
          </w:p>
        </w:tc>
      </w:tr>
    </w:tbl>
    <w:p>
      <w:pPr>
        <w:spacing w:after="0" w:line="153" w:lineRule="exact"/>
        <w:rPr>
          <w:sz w:val="20"/>
          <w:szCs w:val="20"/>
          <w:color w:val="auto"/>
        </w:rPr>
      </w:pPr>
    </w:p>
    <w:p>
      <w:pPr>
        <w:ind w:left="620" w:hanging="490"/>
        <w:spacing w:after="0"/>
        <w:tabs>
          <w:tab w:leader="none" w:pos="6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Indicates less than 1% of our common stock.</w:t>
      </w:r>
    </w:p>
    <w:p>
      <w:pPr>
        <w:spacing w:after="0" w:line="122" w:lineRule="exact"/>
        <w:rPr>
          <w:rFonts w:ascii="Arial" w:cs="Arial" w:eastAsia="Arial" w:hAnsi="Arial"/>
          <w:sz w:val="14"/>
          <w:szCs w:val="14"/>
          <w:color w:val="auto"/>
        </w:rPr>
      </w:pPr>
    </w:p>
    <w:p>
      <w:pPr>
        <w:ind w:left="620" w:right="920" w:hanging="484"/>
        <w:spacing w:after="0" w:line="283" w:lineRule="auto"/>
        <w:tabs>
          <w:tab w:leader="none" w:pos="6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This information is based on Schedule 13G, filed with the SEC on January 8, 2025. BlackRock, Inc. has sole voting power covering 4,358,831shares and sole dispositive power covering4,442,539shares of our common stock. The address for BlackRock, Inc. is 50 Hudson Yards, New York, NY 10001.</w:t>
      </w:r>
    </w:p>
    <w:p>
      <w:pPr>
        <w:spacing w:after="0" w:line="91" w:lineRule="exact"/>
        <w:rPr>
          <w:rFonts w:ascii="Arial" w:cs="Arial" w:eastAsia="Arial" w:hAnsi="Arial"/>
          <w:sz w:val="14"/>
          <w:szCs w:val="14"/>
          <w:color w:val="auto"/>
        </w:rPr>
      </w:pPr>
    </w:p>
    <w:p>
      <w:pPr>
        <w:ind w:left="620" w:right="1000" w:hanging="484"/>
        <w:spacing w:after="0" w:line="276" w:lineRule="auto"/>
        <w:tabs>
          <w:tab w:leader="none" w:pos="6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This information is based on Schedule 13G/A filed with the SEC on June 10, 2024. The Vanguard Group, Inc. has sole dispositive power covering3,597,707shares of our common stock, shared voting power covering12,591shares of our common stock, and shared dispositive power covering54,299shares of our common stock. The address for The Vanguard Group, Inc. is 100 Vanguard Boulevard, Malvern, PA 19355.</w:t>
      </w:r>
    </w:p>
    <w:p>
      <w:pPr>
        <w:spacing w:after="0" w:line="96" w:lineRule="exact"/>
        <w:rPr>
          <w:rFonts w:ascii="Arial" w:cs="Arial" w:eastAsia="Arial" w:hAnsi="Arial"/>
          <w:sz w:val="14"/>
          <w:szCs w:val="14"/>
          <w:color w:val="auto"/>
        </w:rPr>
      </w:pPr>
    </w:p>
    <w:p>
      <w:pPr>
        <w:ind w:left="620" w:right="700" w:hanging="484"/>
        <w:spacing w:after="0" w:line="283" w:lineRule="auto"/>
        <w:tabs>
          <w:tab w:leader="none" w:pos="6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This information is based on Schedule 13G/A, filed with the SEC on February 11, 2025. JPMorgan Chase &amp; Co. has sole voting power covering 2,762,903shares and sole dispositive power covering2,838,327shares of our common stock. The address for JPMorgan Chase &amp; Co. is 383 Madison Avenue, New York, NY 10179.</w:t>
      </w:r>
    </w:p>
    <w:p>
      <w:pPr>
        <w:spacing w:after="0" w:line="91" w:lineRule="exact"/>
        <w:rPr>
          <w:rFonts w:ascii="Arial" w:cs="Arial" w:eastAsia="Arial" w:hAnsi="Arial"/>
          <w:sz w:val="14"/>
          <w:szCs w:val="14"/>
          <w:color w:val="auto"/>
        </w:rPr>
      </w:pPr>
    </w:p>
    <w:p>
      <w:pPr>
        <w:ind w:left="620" w:right="1060" w:hanging="484"/>
        <w:spacing w:after="0" w:line="261" w:lineRule="auto"/>
        <w:tabs>
          <w:tab w:leader="none" w:pos="6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This information is based on a joint Schedule 13G, filed with the SEC on January 31, 2025. First Trust Portfolios L.P. has shared dispositive power covering5,211 shares of our common stock.First Trust Advisors L.P. has sharedvoting power covering1,964,195 shares and shared dispositive power covering1,952,194shares of our common stock. The Charger Corporationhas sharedvoting power covering1,964,195shares and shared dispositive power covering1,952,194shares of our common stock. The address for First</w:t>
      </w:r>
    </w:p>
    <w:p>
      <w:pPr>
        <w:spacing w:after="0" w:line="2"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Trust Portfolios L.P., First Trust Advisors L.P., and The Charger Corporation is 120 East Liberty Drive, Suite 400, Wheaton, Illinois 60187.</w:t>
      </w:r>
    </w:p>
    <w:p>
      <w:pPr>
        <w:spacing w:after="0" w:line="38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5678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156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right="1160" w:hanging="484"/>
        <w:spacing w:after="0" w:line="283" w:lineRule="auto"/>
        <w:tabs>
          <w:tab w:leader="none" w:pos="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amount includes the (a) number of shares subject to exercisable stock options, including stock options that will become exercisable during the 60 days after March 20,2025, and (b) shares of unvested restricted stock and unvested performance-based restricted stock. See the detail for each NEO and all current executive officers as a group below.</w:t>
      </w:r>
    </w:p>
    <w:p>
      <w:pPr>
        <w:sectPr>
          <w:pgSz w:w="11900" w:h="16838" w:orient="portrait"/>
          <w:cols w:equalWidth="0" w:num="1">
            <w:col w:w="9860"/>
          </w:cols>
          <w:pgMar w:left="1440" w:top="1068" w:right="59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3560"/>
        <w:spacing w:after="0"/>
        <w:tabs>
          <w:tab w:leader="none" w:pos="7840" w:val="left"/>
        </w:tabs>
        <w:rPr>
          <w:sz w:val="20"/>
          <w:szCs w:val="20"/>
          <w:color w:val="auto"/>
        </w:rPr>
      </w:pPr>
      <w:r>
        <w:rPr>
          <w:rFonts w:ascii="Arial" w:cs="Arial" w:eastAsia="Arial" w:hAnsi="Arial"/>
          <w:sz w:val="13"/>
          <w:szCs w:val="13"/>
          <w:b w:val="1"/>
          <w:bCs w:val="1"/>
          <w:color w:val="FBFBFB"/>
        </w:rPr>
        <w:t>Owned &amp;</w:t>
      </w:r>
      <w:r>
        <w:rPr>
          <w:sz w:val="20"/>
          <w:szCs w:val="20"/>
          <w:color w:val="auto"/>
        </w:rPr>
        <w:tab/>
      </w:r>
      <w:r>
        <w:rPr>
          <w:rFonts w:ascii="Arial" w:cs="Arial" w:eastAsia="Arial" w:hAnsi="Arial"/>
          <w:sz w:val="12"/>
          <w:szCs w:val="12"/>
          <w:b w:val="1"/>
          <w:bCs w:val="1"/>
          <w:color w:val="FBFBFB"/>
        </w:rPr>
        <w:t>Unvested</w:t>
      </w:r>
    </w:p>
    <w:p>
      <w:pPr>
        <w:spacing w:after="0" w:line="22" w:lineRule="exact"/>
        <w:rPr>
          <w:sz w:val="20"/>
          <w:szCs w:val="20"/>
          <w:color w:val="auto"/>
        </w:rPr>
      </w:pPr>
    </w:p>
    <w:p>
      <w:pPr>
        <w:ind w:left="3620"/>
        <w:spacing w:after="0"/>
        <w:tabs>
          <w:tab w:leader="none" w:pos="6400" w:val="left"/>
          <w:tab w:leader="none" w:pos="7720" w:val="left"/>
        </w:tabs>
        <w:rPr>
          <w:sz w:val="20"/>
          <w:szCs w:val="20"/>
          <w:color w:val="auto"/>
        </w:rPr>
      </w:pPr>
      <w:r>
        <w:rPr>
          <w:rFonts w:ascii="Arial" w:cs="Arial" w:eastAsia="Arial" w:hAnsi="Arial"/>
          <w:sz w:val="13"/>
          <w:szCs w:val="13"/>
          <w:b w:val="1"/>
          <w:bCs w:val="1"/>
          <w:color w:val="FBFBFB"/>
        </w:rPr>
        <w:t>Vested</w:t>
      </w:r>
      <w:r>
        <w:rPr>
          <w:sz w:val="20"/>
          <w:szCs w:val="20"/>
          <w:color w:val="auto"/>
        </w:rPr>
        <w:tab/>
      </w:r>
      <w:r>
        <w:rPr>
          <w:rFonts w:ascii="Arial" w:cs="Arial" w:eastAsia="Arial" w:hAnsi="Arial"/>
          <w:sz w:val="13"/>
          <w:szCs w:val="13"/>
          <w:b w:val="1"/>
          <w:bCs w:val="1"/>
          <w:color w:val="FBFBFB"/>
        </w:rPr>
        <w:t>Restricted</w:t>
      </w:r>
      <w:r>
        <w:rPr>
          <w:sz w:val="20"/>
          <w:szCs w:val="20"/>
          <w:color w:val="auto"/>
        </w:rPr>
        <w:tab/>
      </w:r>
      <w:r>
        <w:rPr>
          <w:rFonts w:ascii="Arial" w:cs="Arial" w:eastAsia="Arial" w:hAnsi="Arial"/>
          <w:sz w:val="12"/>
          <w:szCs w:val="12"/>
          <w:b w:val="1"/>
          <w:bCs w:val="1"/>
          <w:color w:val="FBFBFB"/>
        </w:rPr>
        <w:t>Performance-</w:t>
      </w:r>
    </w:p>
    <w:p>
      <w:pPr>
        <w:sectPr>
          <w:pgSz w:w="11900" w:h="16838" w:orient="portrait"/>
          <w:cols w:equalWidth="0" w:num="1">
            <w:col w:w="9860"/>
          </w:cols>
          <w:pgMar w:left="1440" w:top="1068" w:right="599" w:bottom="0" w:gutter="0" w:footer="0" w:header="0"/>
          <w:type w:val="continuous"/>
        </w:sectPr>
      </w:pPr>
    </w:p>
    <w:bookmarkStart w:id="63" w:name="page64"/>
    <w:bookmarkEnd w:id="63"/>
    <w:tbl>
      <w:tblPr>
        <w:tblLayout w:type="fixed"/>
        <w:tblInd w:w="640" w:type="dxa"/>
        <w:tblCellMar>
          <w:top w:w="0" w:type="dxa"/>
          <w:left w:w="0" w:type="dxa"/>
          <w:bottom w:w="0" w:type="dxa"/>
          <w:right w:w="0" w:type="dxa"/>
        </w:tblCellMar>
      </w:tblPr>
      <w:tr>
        <w:trPr>
          <w:trHeight w:val="149"/>
        </w:trPr>
        <w:tc>
          <w:tcPr>
            <w:tcW w:w="2620" w:type="dxa"/>
            <w:vAlign w:val="bottom"/>
            <w:vMerge w:val="restart"/>
          </w:tcPr>
          <w:p>
            <w:pPr>
              <w:ind w:left="120"/>
              <w:spacing w:after="0"/>
              <w:rPr>
                <w:sz w:val="20"/>
                <w:szCs w:val="20"/>
                <w:color w:val="auto"/>
              </w:rPr>
            </w:pPr>
            <w:r>
              <w:rPr>
                <w:rFonts w:ascii="Arial" w:cs="Arial" w:eastAsia="Arial" w:hAnsi="Arial"/>
                <w:sz w:val="13"/>
                <w:szCs w:val="13"/>
                <w:b w:val="1"/>
                <w:bCs w:val="1"/>
                <w:color w:val="FBFBFB"/>
              </w:rPr>
              <w:t>Name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FBFBFB"/>
                <w:w w:val="95"/>
              </w:rPr>
              <w:t>Common</w:t>
            </w:r>
          </w:p>
        </w:tc>
        <w:tc>
          <w:tcPr>
            <w:tcW w:w="1700" w:type="dxa"/>
            <w:vAlign w:val="bottom"/>
          </w:tcPr>
          <w:p>
            <w:pPr>
              <w:ind w:left="300"/>
              <w:spacing w:after="0"/>
              <w:rPr>
                <w:sz w:val="20"/>
                <w:szCs w:val="20"/>
                <w:color w:val="auto"/>
              </w:rPr>
            </w:pPr>
            <w:r>
              <w:rPr>
                <w:rFonts w:ascii="Arial" w:cs="Arial" w:eastAsia="Arial" w:hAnsi="Arial"/>
                <w:sz w:val="13"/>
                <w:szCs w:val="13"/>
                <w:b w:val="1"/>
                <w:bCs w:val="1"/>
                <w:color w:val="FBFBFB"/>
              </w:rPr>
              <w:t>Exercisable Stock</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BFBFB"/>
                <w:w w:val="95"/>
              </w:rPr>
              <w:t>Common</w:t>
            </w:r>
          </w:p>
        </w:tc>
        <w:tc>
          <w:tcPr>
            <w:tcW w:w="1560" w:type="dxa"/>
            <w:vAlign w:val="bottom"/>
          </w:tcPr>
          <w:p>
            <w:pPr>
              <w:jc w:val="center"/>
              <w:ind w:left="77"/>
              <w:spacing w:after="0"/>
              <w:rPr>
                <w:sz w:val="20"/>
                <w:szCs w:val="20"/>
                <w:color w:val="auto"/>
              </w:rPr>
            </w:pPr>
            <w:r>
              <w:rPr>
                <w:rFonts w:ascii="Arial" w:cs="Arial" w:eastAsia="Arial" w:hAnsi="Arial"/>
                <w:sz w:val="13"/>
                <w:szCs w:val="13"/>
                <w:b w:val="1"/>
                <w:bCs w:val="1"/>
                <w:color w:val="FBFBFB"/>
                <w:w w:val="96"/>
              </w:rPr>
              <w:t>Based Restricted</w:t>
            </w:r>
          </w:p>
        </w:tc>
        <w:tc>
          <w:tcPr>
            <w:tcW w:w="0" w:type="dxa"/>
            <w:vAlign w:val="bottom"/>
          </w:tcPr>
          <w:p>
            <w:pPr>
              <w:spacing w:after="0"/>
              <w:rPr>
                <w:sz w:val="1"/>
                <w:szCs w:val="1"/>
                <w:color w:val="auto"/>
              </w:rPr>
            </w:pPr>
          </w:p>
        </w:tc>
      </w:tr>
      <w:tr>
        <w:trPr>
          <w:trHeight w:val="131"/>
        </w:trPr>
        <w:tc>
          <w:tcPr>
            <w:tcW w:w="2620" w:type="dxa"/>
            <w:vAlign w:val="bottom"/>
            <w:vMerge w:val="continue"/>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Arial" w:cs="Arial" w:eastAsia="Arial" w:hAnsi="Arial"/>
                <w:sz w:val="13"/>
                <w:szCs w:val="13"/>
                <w:b w:val="1"/>
                <w:bCs w:val="1"/>
                <w:color w:val="FBFBFB"/>
              </w:rPr>
              <w:t>Stock</w:t>
            </w:r>
          </w:p>
        </w:tc>
        <w:tc>
          <w:tcPr>
            <w:tcW w:w="1700" w:type="dxa"/>
            <w:vAlign w:val="bottom"/>
          </w:tcPr>
          <w:p>
            <w:pPr>
              <w:ind w:left="580"/>
              <w:spacing w:after="0" w:line="131" w:lineRule="exact"/>
              <w:rPr>
                <w:sz w:val="20"/>
                <w:szCs w:val="20"/>
                <w:color w:val="auto"/>
              </w:rPr>
            </w:pPr>
            <w:r>
              <w:rPr>
                <w:rFonts w:ascii="Arial" w:cs="Arial" w:eastAsia="Arial" w:hAnsi="Arial"/>
                <w:sz w:val="13"/>
                <w:szCs w:val="13"/>
                <w:b w:val="1"/>
                <w:bCs w:val="1"/>
                <w:color w:val="FBFBFB"/>
              </w:rPr>
              <w:t>Options</w:t>
            </w:r>
          </w:p>
        </w:tc>
        <w:tc>
          <w:tcPr>
            <w:tcW w:w="1200" w:type="dxa"/>
            <w:vAlign w:val="bottom"/>
          </w:tcPr>
          <w:p>
            <w:pPr>
              <w:jc w:val="center"/>
              <w:spacing w:after="0" w:line="131" w:lineRule="exact"/>
              <w:rPr>
                <w:sz w:val="20"/>
                <w:szCs w:val="20"/>
                <w:color w:val="auto"/>
              </w:rPr>
            </w:pPr>
            <w:r>
              <w:rPr>
                <w:rFonts w:ascii="Arial" w:cs="Arial" w:eastAsia="Arial" w:hAnsi="Arial"/>
                <w:sz w:val="13"/>
                <w:szCs w:val="13"/>
                <w:b w:val="1"/>
                <w:bCs w:val="1"/>
                <w:color w:val="FBFBFB"/>
                <w:w w:val="95"/>
              </w:rPr>
              <w:t>Stock</w:t>
            </w:r>
          </w:p>
        </w:tc>
        <w:tc>
          <w:tcPr>
            <w:tcW w:w="1560" w:type="dxa"/>
            <w:vAlign w:val="bottom"/>
          </w:tcPr>
          <w:p>
            <w:pPr>
              <w:ind w:left="640"/>
              <w:spacing w:after="0" w:line="131" w:lineRule="exact"/>
              <w:rPr>
                <w:sz w:val="20"/>
                <w:szCs w:val="20"/>
                <w:color w:val="auto"/>
              </w:rPr>
            </w:pPr>
            <w:r>
              <w:rPr>
                <w:rFonts w:ascii="Arial" w:cs="Arial" w:eastAsia="Arial" w:hAnsi="Arial"/>
                <w:sz w:val="13"/>
                <w:szCs w:val="13"/>
                <w:b w:val="1"/>
                <w:bCs w:val="1"/>
                <w:color w:val="FBFBFB"/>
              </w:rPr>
              <w:t>Stock</w:t>
            </w:r>
          </w:p>
        </w:tc>
        <w:tc>
          <w:tcPr>
            <w:tcW w:w="0" w:type="dxa"/>
            <w:vAlign w:val="bottom"/>
          </w:tcPr>
          <w:p>
            <w:pPr>
              <w:spacing w:after="0"/>
              <w:rPr>
                <w:sz w:val="1"/>
                <w:szCs w:val="1"/>
                <w:color w:val="auto"/>
              </w:rPr>
            </w:pPr>
          </w:p>
        </w:tc>
      </w:tr>
      <w:tr>
        <w:trPr>
          <w:trHeight w:val="166"/>
        </w:trPr>
        <w:tc>
          <w:tcPr>
            <w:tcW w:w="2620" w:type="dxa"/>
            <w:vAlign w:val="bottom"/>
          </w:tcPr>
          <w:p>
            <w:pPr>
              <w:ind w:left="100"/>
              <w:spacing w:after="0"/>
              <w:rPr>
                <w:sz w:val="20"/>
                <w:szCs w:val="20"/>
                <w:color w:val="auto"/>
              </w:rPr>
            </w:pPr>
            <w:r>
              <w:rPr>
                <w:rFonts w:ascii="Arial" w:cs="Arial" w:eastAsia="Arial" w:hAnsi="Arial"/>
                <w:sz w:val="13"/>
                <w:szCs w:val="13"/>
                <w:color w:val="auto"/>
              </w:rPr>
              <w:t>Richard F. Westenberger</w:t>
            </w:r>
          </w:p>
        </w:tc>
        <w:tc>
          <w:tcPr>
            <w:tcW w:w="1160" w:type="dxa"/>
            <w:vAlign w:val="bottom"/>
          </w:tcPr>
          <w:p>
            <w:pPr>
              <w:jc w:val="center"/>
              <w:spacing w:after="0"/>
              <w:rPr>
                <w:sz w:val="20"/>
                <w:szCs w:val="20"/>
                <w:color w:val="auto"/>
              </w:rPr>
            </w:pPr>
            <w:r>
              <w:rPr>
                <w:rFonts w:ascii="Arial" w:cs="Arial" w:eastAsia="Arial" w:hAnsi="Arial"/>
                <w:sz w:val="13"/>
                <w:szCs w:val="13"/>
                <w:color w:val="auto"/>
                <w:w w:val="95"/>
              </w:rPr>
              <w:t>70,130</w:t>
            </w:r>
          </w:p>
        </w:tc>
        <w:tc>
          <w:tcPr>
            <w:tcW w:w="1700" w:type="dxa"/>
            <w:vAlign w:val="bottom"/>
          </w:tcPr>
          <w:p>
            <w:pPr>
              <w:jc w:val="center"/>
              <w:spacing w:after="0"/>
              <w:rPr>
                <w:sz w:val="20"/>
                <w:szCs w:val="20"/>
                <w:color w:val="auto"/>
              </w:rPr>
            </w:pPr>
            <w:r>
              <w:rPr>
                <w:rFonts w:ascii="Arial" w:cs="Arial" w:eastAsia="Arial" w:hAnsi="Arial"/>
                <w:sz w:val="13"/>
                <w:szCs w:val="13"/>
                <w:color w:val="auto"/>
                <w:w w:val="95"/>
              </w:rPr>
              <w:t>17,268</w:t>
            </w:r>
          </w:p>
        </w:tc>
        <w:tc>
          <w:tcPr>
            <w:tcW w:w="1200" w:type="dxa"/>
            <w:vAlign w:val="bottom"/>
          </w:tcPr>
          <w:p>
            <w:pPr>
              <w:jc w:val="center"/>
              <w:spacing w:after="0"/>
              <w:rPr>
                <w:sz w:val="20"/>
                <w:szCs w:val="20"/>
                <w:color w:val="auto"/>
              </w:rPr>
            </w:pPr>
            <w:r>
              <w:rPr>
                <w:rFonts w:ascii="Arial" w:cs="Arial" w:eastAsia="Arial" w:hAnsi="Arial"/>
                <w:sz w:val="13"/>
                <w:szCs w:val="13"/>
                <w:color w:val="auto"/>
              </w:rPr>
              <w:t>55,139</w:t>
            </w:r>
          </w:p>
        </w:tc>
        <w:tc>
          <w:tcPr>
            <w:tcW w:w="1560" w:type="dxa"/>
            <w:vAlign w:val="bottom"/>
          </w:tcPr>
          <w:p>
            <w:pPr>
              <w:jc w:val="center"/>
              <w:ind w:left="77"/>
              <w:spacing w:after="0"/>
              <w:rPr>
                <w:sz w:val="20"/>
                <w:szCs w:val="20"/>
                <w:color w:val="auto"/>
              </w:rPr>
            </w:pPr>
            <w:r>
              <w:rPr>
                <w:rFonts w:ascii="Arial" w:cs="Arial" w:eastAsia="Arial" w:hAnsi="Arial"/>
                <w:sz w:val="13"/>
                <w:szCs w:val="13"/>
                <w:color w:val="auto"/>
                <w:w w:val="95"/>
              </w:rPr>
              <w:t>19,620</w:t>
            </w:r>
          </w:p>
        </w:tc>
        <w:tc>
          <w:tcPr>
            <w:tcW w:w="0" w:type="dxa"/>
            <w:vAlign w:val="bottom"/>
          </w:tcPr>
          <w:p>
            <w:pPr>
              <w:spacing w:after="0"/>
              <w:rPr>
                <w:sz w:val="1"/>
                <w:szCs w:val="1"/>
                <w:color w:val="auto"/>
              </w:rPr>
            </w:pPr>
          </w:p>
        </w:tc>
      </w:tr>
      <w:tr>
        <w:trPr>
          <w:trHeight w:val="175"/>
        </w:trPr>
        <w:tc>
          <w:tcPr>
            <w:tcW w:w="2620" w:type="dxa"/>
            <w:vAlign w:val="bottom"/>
          </w:tcPr>
          <w:p>
            <w:pPr>
              <w:ind w:left="100"/>
              <w:spacing w:after="0"/>
              <w:rPr>
                <w:sz w:val="20"/>
                <w:szCs w:val="20"/>
                <w:color w:val="auto"/>
              </w:rPr>
            </w:pPr>
            <w:r>
              <w:rPr>
                <w:rFonts w:ascii="Arial" w:cs="Arial" w:eastAsia="Arial" w:hAnsi="Arial"/>
                <w:sz w:val="13"/>
                <w:szCs w:val="13"/>
                <w:color w:val="auto"/>
              </w:rPr>
              <w:t>Kendra D. Krugman</w:t>
            </w:r>
          </w:p>
        </w:tc>
        <w:tc>
          <w:tcPr>
            <w:tcW w:w="1160" w:type="dxa"/>
            <w:vAlign w:val="bottom"/>
          </w:tcPr>
          <w:p>
            <w:pPr>
              <w:jc w:val="center"/>
              <w:spacing w:after="0"/>
              <w:rPr>
                <w:sz w:val="20"/>
                <w:szCs w:val="20"/>
                <w:color w:val="auto"/>
              </w:rPr>
            </w:pPr>
            <w:r>
              <w:rPr>
                <w:rFonts w:ascii="Arial" w:cs="Arial" w:eastAsia="Arial" w:hAnsi="Arial"/>
                <w:sz w:val="13"/>
                <w:szCs w:val="13"/>
                <w:color w:val="auto"/>
                <w:w w:val="95"/>
              </w:rPr>
              <w:t>24,684</w:t>
            </w:r>
          </w:p>
        </w:tc>
        <w:tc>
          <w:tcPr>
            <w:tcW w:w="1700" w:type="dxa"/>
            <w:vAlign w:val="bottom"/>
          </w:tcPr>
          <w:p>
            <w:pPr>
              <w:jc w:val="center"/>
              <w:spacing w:after="0"/>
              <w:rPr>
                <w:sz w:val="20"/>
                <w:szCs w:val="20"/>
                <w:color w:val="auto"/>
              </w:rPr>
            </w:pPr>
            <w:r>
              <w:rPr>
                <w:rFonts w:ascii="Arial" w:cs="Arial" w:eastAsia="Arial" w:hAnsi="Arial"/>
                <w:sz w:val="13"/>
                <w:szCs w:val="13"/>
                <w:color w:val="auto"/>
                <w:w w:val="95"/>
              </w:rPr>
              <w:t>13,028</w:t>
            </w:r>
          </w:p>
        </w:tc>
        <w:tc>
          <w:tcPr>
            <w:tcW w:w="1200" w:type="dxa"/>
            <w:vAlign w:val="bottom"/>
          </w:tcPr>
          <w:p>
            <w:pPr>
              <w:jc w:val="center"/>
              <w:spacing w:after="0"/>
              <w:rPr>
                <w:sz w:val="20"/>
                <w:szCs w:val="20"/>
                <w:color w:val="auto"/>
              </w:rPr>
            </w:pPr>
            <w:r>
              <w:rPr>
                <w:rFonts w:ascii="Arial" w:cs="Arial" w:eastAsia="Arial" w:hAnsi="Arial"/>
                <w:sz w:val="13"/>
                <w:szCs w:val="13"/>
                <w:color w:val="auto"/>
              </w:rPr>
              <w:t>48,593</w:t>
            </w:r>
          </w:p>
        </w:tc>
        <w:tc>
          <w:tcPr>
            <w:tcW w:w="1560" w:type="dxa"/>
            <w:vAlign w:val="bottom"/>
          </w:tcPr>
          <w:p>
            <w:pPr>
              <w:jc w:val="center"/>
              <w:ind w:left="77"/>
              <w:spacing w:after="0"/>
              <w:rPr>
                <w:sz w:val="20"/>
                <w:szCs w:val="20"/>
                <w:color w:val="auto"/>
              </w:rPr>
            </w:pPr>
            <w:r>
              <w:rPr>
                <w:rFonts w:ascii="Arial" w:cs="Arial" w:eastAsia="Arial" w:hAnsi="Arial"/>
                <w:sz w:val="13"/>
                <w:szCs w:val="13"/>
                <w:color w:val="auto"/>
                <w:w w:val="95"/>
              </w:rPr>
              <w:t>14,556</w:t>
            </w:r>
          </w:p>
        </w:tc>
        <w:tc>
          <w:tcPr>
            <w:tcW w:w="0" w:type="dxa"/>
            <w:vAlign w:val="bottom"/>
          </w:tcPr>
          <w:p>
            <w:pPr>
              <w:spacing w:after="0"/>
              <w:rPr>
                <w:sz w:val="1"/>
                <w:szCs w:val="1"/>
                <w:color w:val="auto"/>
              </w:rPr>
            </w:pPr>
          </w:p>
        </w:tc>
      </w:tr>
      <w:tr>
        <w:trPr>
          <w:trHeight w:val="176"/>
        </w:trPr>
        <w:tc>
          <w:tcPr>
            <w:tcW w:w="2620" w:type="dxa"/>
            <w:vAlign w:val="bottom"/>
          </w:tcPr>
          <w:p>
            <w:pPr>
              <w:ind w:left="100"/>
              <w:spacing w:after="0"/>
              <w:rPr>
                <w:sz w:val="20"/>
                <w:szCs w:val="20"/>
                <w:color w:val="auto"/>
              </w:rPr>
            </w:pPr>
            <w:r>
              <w:rPr>
                <w:rFonts w:ascii="Arial" w:cs="Arial" w:eastAsia="Arial" w:hAnsi="Arial"/>
                <w:sz w:val="13"/>
                <w:szCs w:val="13"/>
                <w:color w:val="auto"/>
              </w:rPr>
              <w:t>Allison M. Peterson</w:t>
            </w:r>
          </w:p>
        </w:tc>
        <w:tc>
          <w:tcPr>
            <w:tcW w:w="11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auto"/>
              </w:rPr>
              <w:t>55,280</w:t>
            </w:r>
          </w:p>
        </w:tc>
        <w:tc>
          <w:tcPr>
            <w:tcW w:w="1560" w:type="dxa"/>
            <w:vAlign w:val="bottom"/>
          </w:tcPr>
          <w:p>
            <w:pPr>
              <w:jc w:val="center"/>
              <w:ind w:left="5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620" w:type="dxa"/>
            <w:vAlign w:val="bottom"/>
          </w:tcPr>
          <w:p>
            <w:pPr>
              <w:ind w:left="100"/>
              <w:spacing w:after="0"/>
              <w:rPr>
                <w:sz w:val="20"/>
                <w:szCs w:val="20"/>
                <w:color w:val="auto"/>
              </w:rPr>
            </w:pPr>
            <w:r>
              <w:rPr>
                <w:rFonts w:ascii="Arial" w:cs="Arial" w:eastAsia="Arial" w:hAnsi="Arial"/>
                <w:sz w:val="13"/>
                <w:szCs w:val="13"/>
                <w:color w:val="auto"/>
              </w:rPr>
              <w:t>Raghu R. Sagi</w:t>
            </w:r>
          </w:p>
        </w:tc>
        <w:tc>
          <w:tcPr>
            <w:tcW w:w="11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auto"/>
              </w:rPr>
              <w:t>29,844</w:t>
            </w:r>
          </w:p>
        </w:tc>
        <w:tc>
          <w:tcPr>
            <w:tcW w:w="1560" w:type="dxa"/>
            <w:vAlign w:val="bottom"/>
          </w:tcPr>
          <w:p>
            <w:pPr>
              <w:jc w:val="center"/>
              <w:ind w:left="5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2620" w:type="dxa"/>
            <w:vAlign w:val="bottom"/>
          </w:tcPr>
          <w:p>
            <w:pPr>
              <w:ind w:left="100"/>
              <w:spacing w:after="0"/>
              <w:rPr>
                <w:sz w:val="20"/>
                <w:szCs w:val="20"/>
                <w:color w:val="auto"/>
              </w:rPr>
            </w:pPr>
            <w:r>
              <w:rPr>
                <w:rFonts w:ascii="Arial" w:cs="Arial" w:eastAsia="Arial" w:hAnsi="Arial"/>
                <w:sz w:val="13"/>
                <w:szCs w:val="13"/>
                <w:color w:val="auto"/>
              </w:rPr>
              <w:t>Michael D. Casey</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283,547</w:t>
            </w:r>
          </w:p>
        </w:tc>
        <w:tc>
          <w:tcPr>
            <w:tcW w:w="1700" w:type="dxa"/>
            <w:vAlign w:val="bottom"/>
          </w:tcPr>
          <w:p>
            <w:pPr>
              <w:jc w:val="center"/>
              <w:spacing w:after="0"/>
              <w:rPr>
                <w:sz w:val="20"/>
                <w:szCs w:val="20"/>
                <w:color w:val="auto"/>
              </w:rPr>
            </w:pPr>
            <w:r>
              <w:rPr>
                <w:rFonts w:ascii="Arial" w:cs="Arial" w:eastAsia="Arial" w:hAnsi="Arial"/>
                <w:sz w:val="13"/>
                <w:szCs w:val="13"/>
                <w:color w:val="auto"/>
                <w:w w:val="97"/>
              </w:rPr>
              <w:t>162,768</w:t>
            </w:r>
          </w:p>
        </w:tc>
        <w:tc>
          <w:tcPr>
            <w:tcW w:w="1200" w:type="dxa"/>
            <w:vAlign w:val="bottom"/>
          </w:tcPr>
          <w:p>
            <w:pPr>
              <w:jc w:val="center"/>
              <w:spacing w:after="0"/>
              <w:rPr>
                <w:sz w:val="20"/>
                <w:szCs w:val="20"/>
                <w:color w:val="auto"/>
              </w:rPr>
            </w:pPr>
            <w:r>
              <w:rPr>
                <w:rFonts w:ascii="Arial" w:cs="Arial" w:eastAsia="Arial" w:hAnsi="Arial"/>
                <w:sz w:val="13"/>
                <w:szCs w:val="13"/>
                <w:color w:val="auto"/>
              </w:rPr>
              <w:t>—</w:t>
            </w:r>
          </w:p>
        </w:tc>
        <w:tc>
          <w:tcPr>
            <w:tcW w:w="1560" w:type="dxa"/>
            <w:vAlign w:val="bottom"/>
          </w:tcPr>
          <w:p>
            <w:pPr>
              <w:jc w:val="center"/>
              <w:ind w:left="77"/>
              <w:spacing w:after="0"/>
              <w:rPr>
                <w:sz w:val="20"/>
                <w:szCs w:val="20"/>
                <w:color w:val="auto"/>
              </w:rPr>
            </w:pPr>
            <w:r>
              <w:rPr>
                <w:rFonts w:ascii="Arial" w:cs="Arial" w:eastAsia="Arial" w:hAnsi="Arial"/>
                <w:sz w:val="13"/>
                <w:szCs w:val="13"/>
                <w:color w:val="auto"/>
                <w:w w:val="95"/>
              </w:rPr>
              <w:t>83,544</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rPr>
                <w:sz w:val="20"/>
                <w:szCs w:val="20"/>
                <w:color w:val="auto"/>
              </w:rPr>
            </w:pPr>
            <w:r>
              <w:rPr>
                <w:rFonts w:ascii="Arial" w:cs="Arial" w:eastAsia="Arial" w:hAnsi="Arial"/>
                <w:sz w:val="13"/>
                <w:szCs w:val="13"/>
                <w:color w:val="auto"/>
              </w:rPr>
              <w:t>Brian J. Lynch</w:t>
            </w:r>
          </w:p>
        </w:tc>
        <w:tc>
          <w:tcPr>
            <w:tcW w:w="11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auto"/>
              </w:rPr>
              <w:t>—</w:t>
            </w:r>
          </w:p>
        </w:tc>
        <w:tc>
          <w:tcPr>
            <w:tcW w:w="1560" w:type="dxa"/>
            <w:vAlign w:val="bottom"/>
          </w:tcPr>
          <w:p>
            <w:pPr>
              <w:jc w:val="center"/>
              <w:ind w:left="77"/>
              <w:spacing w:after="0"/>
              <w:rPr>
                <w:sz w:val="20"/>
                <w:szCs w:val="20"/>
                <w:color w:val="auto"/>
              </w:rPr>
            </w:pPr>
            <w:r>
              <w:rPr>
                <w:rFonts w:ascii="Arial" w:cs="Arial" w:eastAsia="Arial" w:hAnsi="Arial"/>
                <w:sz w:val="13"/>
                <w:szCs w:val="13"/>
                <w:color w:val="auto"/>
                <w:w w:val="95"/>
              </w:rPr>
              <w:t>16,880</w:t>
            </w:r>
          </w:p>
        </w:tc>
        <w:tc>
          <w:tcPr>
            <w:tcW w:w="0" w:type="dxa"/>
            <w:vAlign w:val="bottom"/>
          </w:tcPr>
          <w:p>
            <w:pPr>
              <w:spacing w:after="0"/>
              <w:rPr>
                <w:sz w:val="1"/>
                <w:szCs w:val="1"/>
                <w:color w:val="auto"/>
              </w:rPr>
            </w:pPr>
          </w:p>
        </w:tc>
      </w:tr>
      <w:tr>
        <w:trPr>
          <w:trHeight w:val="175"/>
        </w:trPr>
        <w:tc>
          <w:tcPr>
            <w:tcW w:w="2620" w:type="dxa"/>
            <w:vAlign w:val="bottom"/>
          </w:tcPr>
          <w:p>
            <w:pPr>
              <w:ind w:left="100"/>
              <w:spacing w:after="0"/>
              <w:rPr>
                <w:sz w:val="20"/>
                <w:szCs w:val="20"/>
                <w:color w:val="auto"/>
              </w:rPr>
            </w:pPr>
            <w:r>
              <w:rPr>
                <w:rFonts w:ascii="Arial" w:cs="Arial" w:eastAsia="Arial" w:hAnsi="Arial"/>
                <w:sz w:val="13"/>
                <w:szCs w:val="13"/>
                <w:color w:val="auto"/>
              </w:rPr>
              <w:t>All current executive officers as a group</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378,361</w:t>
            </w:r>
          </w:p>
        </w:tc>
        <w:tc>
          <w:tcPr>
            <w:tcW w:w="1700" w:type="dxa"/>
            <w:vAlign w:val="bottom"/>
          </w:tcPr>
          <w:p>
            <w:pPr>
              <w:jc w:val="center"/>
              <w:spacing w:after="0"/>
              <w:rPr>
                <w:sz w:val="20"/>
                <w:szCs w:val="20"/>
                <w:color w:val="auto"/>
              </w:rPr>
            </w:pPr>
            <w:r>
              <w:rPr>
                <w:rFonts w:ascii="Arial" w:cs="Arial" w:eastAsia="Arial" w:hAnsi="Arial"/>
                <w:sz w:val="13"/>
                <w:szCs w:val="13"/>
                <w:color w:val="auto"/>
                <w:w w:val="97"/>
              </w:rPr>
              <w:t>193,064</w:t>
            </w:r>
          </w:p>
        </w:tc>
        <w:tc>
          <w:tcPr>
            <w:tcW w:w="1200" w:type="dxa"/>
            <w:vAlign w:val="bottom"/>
          </w:tcPr>
          <w:p>
            <w:pPr>
              <w:jc w:val="right"/>
              <w:ind w:right="277"/>
              <w:spacing w:after="0"/>
              <w:rPr>
                <w:sz w:val="20"/>
                <w:szCs w:val="20"/>
                <w:color w:val="auto"/>
              </w:rPr>
            </w:pPr>
            <w:r>
              <w:rPr>
                <w:rFonts w:ascii="Arial" w:cs="Arial" w:eastAsia="Arial" w:hAnsi="Arial"/>
                <w:sz w:val="13"/>
                <w:szCs w:val="13"/>
                <w:color w:val="auto"/>
              </w:rPr>
              <w:t>188,856</w:t>
            </w:r>
          </w:p>
        </w:tc>
        <w:tc>
          <w:tcPr>
            <w:tcW w:w="1560" w:type="dxa"/>
            <w:vAlign w:val="bottom"/>
          </w:tcPr>
          <w:p>
            <w:pPr>
              <w:jc w:val="center"/>
              <w:ind w:left="77"/>
              <w:spacing w:after="0"/>
              <w:rPr>
                <w:sz w:val="20"/>
                <w:szCs w:val="20"/>
                <w:color w:val="auto"/>
              </w:rPr>
            </w:pPr>
            <w:r>
              <w:rPr>
                <w:rFonts w:ascii="Arial" w:cs="Arial" w:eastAsia="Arial" w:hAnsi="Arial"/>
                <w:sz w:val="13"/>
                <w:szCs w:val="13"/>
                <w:color w:val="auto"/>
                <w:w w:val="97"/>
              </w:rPr>
              <w:t>134,600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-933450</wp:posOffset>
            </wp:positionV>
            <wp:extent cx="6810375" cy="7288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7288530"/>
                    </a:xfrm>
                    <a:prstGeom prst="rect">
                      <a:avLst/>
                    </a:prstGeom>
                    <a:noFill/>
                  </pic:spPr>
                </pic:pic>
              </a:graphicData>
            </a:graphic>
          </wp:anchor>
        </w:drawing>
      </w:r>
    </w:p>
    <w:p>
      <w:pPr>
        <w:spacing w:after="0" w:line="201" w:lineRule="exact"/>
        <w:rPr>
          <w:sz w:val="20"/>
          <w:szCs w:val="20"/>
          <w:color w:val="auto"/>
        </w:rPr>
      </w:pPr>
    </w:p>
    <w:p>
      <w:pPr>
        <w:ind w:left="620" w:right="700" w:hanging="484"/>
        <w:spacing w:after="0" w:line="243" w:lineRule="auto"/>
        <w:tabs>
          <w:tab w:leader="none" w:pos="6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After the record date, on April 3, 2025, Mr. Palladini received a $7,000,000 sign-on equity grant, with 50% of the grant in the form of time-based restricted stock and 50% in the form of performance-based restricted stock. For additional information, see the section “Compensation Discussion and Analysis - Appointment of Chief Executive Officer &amp; President”.</w:t>
      </w:r>
    </w:p>
    <w:p>
      <w:pPr>
        <w:spacing w:after="0" w:line="91" w:lineRule="exact"/>
        <w:rPr>
          <w:rFonts w:ascii="Arial" w:cs="Arial" w:eastAsia="Arial" w:hAnsi="Arial"/>
          <w:sz w:val="14"/>
          <w:szCs w:val="14"/>
          <w:color w:val="auto"/>
        </w:rPr>
      </w:pPr>
    </w:p>
    <w:p>
      <w:pPr>
        <w:ind w:left="620" w:right="1320" w:hanging="484"/>
        <w:spacing w:after="0" w:line="305" w:lineRule="auto"/>
        <w:tabs>
          <w:tab w:leader="none" w:pos="620" w:val="left"/>
        </w:tabs>
        <w:numPr>
          <w:ilvl w:val="0"/>
          <w:numId w:val="80"/>
        </w:numPr>
        <w:rPr>
          <w:rFonts w:ascii="Arial" w:cs="Arial" w:eastAsia="Arial" w:hAnsi="Arial"/>
          <w:sz w:val="13"/>
          <w:szCs w:val="13"/>
          <w:color w:val="auto"/>
        </w:rPr>
      </w:pPr>
      <w:r>
        <w:rPr>
          <w:rFonts w:ascii="Arial" w:cs="Arial" w:eastAsia="Arial" w:hAnsi="Arial"/>
          <w:sz w:val="14"/>
          <w:szCs w:val="14"/>
          <w:color w:val="auto"/>
        </w:rPr>
        <w:t>Each of Messrs. Anderson and Black and Mses. Rauch and Stahl (who each1,975holdshares of restricted stock) are the only independent directors who hold restricted stock</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1451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314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123054"/>
        </w:rPr>
        <w:t>DELINQUENT SECTION 16 REPORTS</w:t>
      </w:r>
    </w:p>
    <w:p>
      <w:pPr>
        <w:spacing w:after="0" w:line="221" w:lineRule="exact"/>
        <w:rPr>
          <w:sz w:val="20"/>
          <w:szCs w:val="20"/>
          <w:color w:val="auto"/>
        </w:rPr>
      </w:pPr>
    </w:p>
    <w:p>
      <w:pPr>
        <w:ind w:left="220"/>
        <w:spacing w:after="0" w:line="264" w:lineRule="auto"/>
        <w:rPr>
          <w:sz w:val="20"/>
          <w:szCs w:val="20"/>
          <w:color w:val="auto"/>
        </w:rPr>
      </w:pPr>
      <w:r>
        <w:rPr>
          <w:rFonts w:ascii="Arial" w:cs="Arial" w:eastAsia="Arial" w:hAnsi="Arial"/>
          <w:sz w:val="19"/>
          <w:szCs w:val="19"/>
          <w:color w:val="auto"/>
        </w:rPr>
        <w:t>Section 16(a) of the Securities Exchange Act requires that the Company’s executive officers and directors, and persons who beneficially own more than ten percent (10%) of the Company’s common stock, file initial reports of ownership and changes in ownership with the SEC. Based on a review of the copies of such forms furnished to the Company with respect to fiscal2024, the Company believes that all forms</w:t>
      </w:r>
    </w:p>
    <w:p>
      <w:pPr>
        <w:spacing w:after="0" w:line="2" w:lineRule="exact"/>
        <w:rPr>
          <w:sz w:val="20"/>
          <w:szCs w:val="20"/>
          <w:color w:val="auto"/>
        </w:rPr>
      </w:pPr>
    </w:p>
    <w:p>
      <w:pPr>
        <w:ind w:left="220" w:right="600"/>
        <w:spacing w:after="0" w:line="267" w:lineRule="auto"/>
        <w:rPr>
          <w:sz w:val="20"/>
          <w:szCs w:val="20"/>
          <w:color w:val="auto"/>
        </w:rPr>
      </w:pPr>
      <w:r>
        <w:rPr>
          <w:rFonts w:ascii="Arial" w:cs="Arial" w:eastAsia="Arial" w:hAnsi="Arial"/>
          <w:sz w:val="20"/>
          <w:szCs w:val="20"/>
          <w:color w:val="auto"/>
        </w:rPr>
        <w:t>were filed in a timely manner during fiscal2024, with the exception ofone (1) Form 4 filed on March 22, 2024 reporting the sales of shares by Mark P. Hipp on March 6, 2024.</w:t>
      </w:r>
    </w:p>
    <w:p>
      <w:pPr>
        <w:sectPr>
          <w:pgSz w:w="11900" w:h="16838" w:orient="portrait"/>
          <w:cols w:equalWidth="0" w:num="1">
            <w:col w:w="9500"/>
          </w:cols>
          <w:pgMar w:left="1440" w:top="85" w:right="9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711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4722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4722495"/>
                    </a:xfrm>
                    <a:prstGeom prst="rect">
                      <a:avLst/>
                    </a:prstGeom>
                    <a:noFill/>
                  </pic:spPr>
                </pic:pic>
              </a:graphicData>
            </a:graphic>
          </wp:anchor>
        </w:drawing>
      </w:r>
    </w:p>
    <w:p>
      <w:pPr>
        <w:sectPr>
          <w:pgSz w:w="11900" w:h="16838" w:orient="portrait"/>
          <w:cols w:equalWidth="0" w:num="1">
            <w:col w:w="9160"/>
          </w:cols>
          <w:pgMar w:left="1440" w:top="1440" w:right="1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PROPOSAL NUMBER TWO</w:t>
      </w:r>
    </w:p>
    <w:p>
      <w:pPr>
        <w:spacing w:after="0" w:line="4" w:lineRule="exact"/>
        <w:rPr>
          <w:sz w:val="20"/>
          <w:szCs w:val="20"/>
          <w:color w:val="auto"/>
        </w:rPr>
      </w:pPr>
    </w:p>
    <w:p>
      <w:pPr>
        <w:ind w:left="140" w:right="1460"/>
        <w:spacing w:after="0"/>
        <w:rPr>
          <w:sz w:val="20"/>
          <w:szCs w:val="20"/>
          <w:color w:val="auto"/>
        </w:rPr>
      </w:pPr>
      <w:r>
        <w:rPr>
          <w:rFonts w:ascii="Arial" w:cs="Arial" w:eastAsia="Arial" w:hAnsi="Arial"/>
          <w:sz w:val="32"/>
          <w:szCs w:val="32"/>
          <w:b w:val="1"/>
          <w:bCs w:val="1"/>
          <w:color w:val="123054"/>
        </w:rPr>
        <w:t>ADVISORY VOTE ON APPROVAL OF EXECUTIVE COMPENSATION</w:t>
      </w:r>
    </w:p>
    <w:p>
      <w:pPr>
        <w:spacing w:after="0" w:line="103" w:lineRule="exact"/>
        <w:rPr>
          <w:sz w:val="20"/>
          <w:szCs w:val="20"/>
          <w:color w:val="auto"/>
        </w:rPr>
      </w:pPr>
    </w:p>
    <w:p>
      <w:pPr>
        <w:ind w:left="140" w:right="680"/>
        <w:spacing w:after="0" w:line="245" w:lineRule="auto"/>
        <w:rPr>
          <w:sz w:val="20"/>
          <w:szCs w:val="20"/>
          <w:color w:val="auto"/>
        </w:rPr>
      </w:pPr>
      <w:r>
        <w:rPr>
          <w:rFonts w:ascii="Arial" w:cs="Arial" w:eastAsia="Arial" w:hAnsi="Arial"/>
          <w:sz w:val="20"/>
          <w:szCs w:val="20"/>
          <w:color w:val="auto"/>
        </w:rPr>
        <w:t>The Compensation Discussion and Analysis section of this proxy statement beginning on page34 describes Carter’s executive compensation program and the compensation decisions that the Compensation and Human Capital Committee and Board of Directors made in fiscal 2024 with respect to the compensation of Carter’s NEOs.</w:t>
      </w:r>
    </w:p>
    <w:p>
      <w:pPr>
        <w:spacing w:after="0" w:line="168" w:lineRule="exact"/>
        <w:rPr>
          <w:sz w:val="20"/>
          <w:szCs w:val="20"/>
          <w:color w:val="auto"/>
        </w:rPr>
      </w:pPr>
    </w:p>
    <w:p>
      <w:pPr>
        <w:jc w:val="both"/>
        <w:ind w:left="140" w:right="300"/>
        <w:spacing w:after="0" w:line="262" w:lineRule="auto"/>
        <w:rPr>
          <w:sz w:val="20"/>
          <w:szCs w:val="20"/>
          <w:color w:val="auto"/>
        </w:rPr>
      </w:pPr>
      <w:r>
        <w:rPr>
          <w:rFonts w:ascii="Arial" w:cs="Arial" w:eastAsia="Arial" w:hAnsi="Arial"/>
          <w:sz w:val="19"/>
          <w:szCs w:val="19"/>
          <w:color w:val="auto"/>
        </w:rPr>
        <w:t>Carter's is committed to achieving long-term, sustainable growth and increasing shareholder value. Carter’s compensation program for its NEOs is designed to support these objectives and encourage strong financial performance on an annual and long-term basis by linking a significant portion of the NEOs’ total direct compensation to Carter's performance in the form of incentive compensation.</w:t>
      </w:r>
    </w:p>
    <w:p>
      <w:pPr>
        <w:spacing w:after="0" w:line="151" w:lineRule="exact"/>
        <w:rPr>
          <w:sz w:val="20"/>
          <w:szCs w:val="20"/>
          <w:color w:val="auto"/>
        </w:rPr>
      </w:pPr>
    </w:p>
    <w:p>
      <w:pPr>
        <w:ind w:left="140" w:right="780"/>
        <w:spacing w:after="0" w:line="235" w:lineRule="auto"/>
        <w:rPr>
          <w:sz w:val="20"/>
          <w:szCs w:val="20"/>
          <w:color w:val="auto"/>
        </w:rPr>
      </w:pPr>
      <w:r>
        <w:rPr>
          <w:rFonts w:ascii="Arial" w:cs="Arial" w:eastAsia="Arial" w:hAnsi="Arial"/>
          <w:sz w:val="20"/>
          <w:szCs w:val="20"/>
          <w:color w:val="auto"/>
        </w:rPr>
        <w:t xml:space="preserve">The Board of Directors is asking shareholders to cast a non-binding, advisory </w:t>
      </w:r>
      <w:r>
        <w:rPr>
          <w:rFonts w:ascii="Arial" w:cs="Arial" w:eastAsia="Arial" w:hAnsi="Arial"/>
          <w:sz w:val="20"/>
          <w:szCs w:val="20"/>
          <w:b w:val="1"/>
          <w:bCs w:val="1"/>
          <w:color w:val="123054"/>
        </w:rPr>
        <w:t>FOR</w:t>
      </w:r>
      <w:r>
        <w:rPr>
          <w:rFonts w:ascii="Arial" w:cs="Arial" w:eastAsia="Arial" w:hAnsi="Arial"/>
          <w:sz w:val="20"/>
          <w:szCs w:val="20"/>
          <w:color w:val="auto"/>
        </w:rPr>
        <w:t>votethe following resolution:</w:t>
      </w:r>
    </w:p>
    <w:p>
      <w:pPr>
        <w:spacing w:after="0" w:line="146" w:lineRule="exact"/>
        <w:rPr>
          <w:sz w:val="20"/>
          <w:szCs w:val="20"/>
          <w:color w:val="auto"/>
        </w:rPr>
      </w:pPr>
    </w:p>
    <w:p>
      <w:pPr>
        <w:ind w:left="640"/>
        <w:spacing w:after="0" w:line="255" w:lineRule="auto"/>
        <w:rPr>
          <w:sz w:val="20"/>
          <w:szCs w:val="20"/>
          <w:color w:val="auto"/>
        </w:rPr>
      </w:pPr>
      <w:r>
        <w:rPr>
          <w:rFonts w:ascii="Arial" w:cs="Arial" w:eastAsia="Arial" w:hAnsi="Arial"/>
          <w:sz w:val="20"/>
          <w:szCs w:val="20"/>
          <w:color w:val="auto"/>
        </w:rPr>
        <w:t>“RESOLVED, that the compensation paid to Carter’s NEOs, as disclosed in Carter’s Proxy Statement for the2025 Annual Meeting of Shareholders, including the Compensation Discussion &amp; Analysis, compensation tables and narrative discussion, is hereby APPROVED.”</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This proposal is commonly referred to as the “say-on-pay” vote and is required pursuant to Section 14A of the Exchange Act. This vote is not intended to address any specific item of compensation, but rather the overall compensation of our NEOs and the policies and practices described in this proxy statement. Although the vote we are asking you to cast is non-binding, the Compensation &amp; Human Capital Committee and the Board value the views of our shareholders and intend to consider the outcome of the vote when determining future compensation arrangements for our NEOs.</w:t>
      </w:r>
    </w:p>
    <w:p>
      <w:pPr>
        <w:sectPr>
          <w:pgSz w:w="11900" w:h="16838" w:orient="portrait"/>
          <w:cols w:equalWidth="0" w:num="1">
            <w:col w:w="9160"/>
          </w:cols>
          <w:pgMar w:left="1440" w:top="1440" w:right="1299" w:bottom="0" w:gutter="0" w:footer="0" w:header="0"/>
          <w:type w:val="continuous"/>
        </w:sectPr>
      </w:pPr>
    </w:p>
    <w:bookmarkStart w:id="65" w:name="page66"/>
    <w:bookmarkEnd w:id="65"/>
    <w:p>
      <w:pPr>
        <w:ind w:left="2840"/>
        <w:spacing w:after="0"/>
        <w:rPr>
          <w:sz w:val="20"/>
          <w:szCs w:val="20"/>
          <w:color w:val="auto"/>
        </w:rPr>
      </w:pPr>
      <w:r>
        <w:rPr>
          <w:rFonts w:ascii="Arial" w:cs="Arial" w:eastAsia="Arial" w:hAnsi="Arial"/>
          <w:sz w:val="20"/>
          <w:szCs w:val="20"/>
          <w:b w:val="1"/>
          <w:bCs w:val="1"/>
          <w:color w:val="auto"/>
        </w:rPr>
        <w:t>The Board recommends a vote</w:t>
      </w:r>
      <w:r>
        <w:rPr>
          <w:rFonts w:ascii="Arial" w:cs="Arial" w:eastAsia="Arial" w:hAnsi="Arial"/>
          <w:sz w:val="20"/>
          <w:szCs w:val="20"/>
          <w:b w:val="1"/>
          <w:bCs w:val="1"/>
          <w:color w:val="123054"/>
        </w:rPr>
        <w:t>FOR</w:t>
      </w:r>
      <w:r>
        <w:rPr>
          <w:rFonts w:ascii="Arial" w:cs="Arial" w:eastAsia="Arial" w:hAnsi="Arial"/>
          <w:sz w:val="20"/>
          <w:szCs w:val="20"/>
          <w:b w:val="1"/>
          <w:bCs w:val="1"/>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-116840</wp:posOffset>
            </wp:positionV>
            <wp:extent cx="6810375" cy="4133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4133850"/>
                    </a:xfrm>
                    <a:prstGeom prst="rect">
                      <a:avLst/>
                    </a:prstGeom>
                    <a:noFill/>
                  </pic:spPr>
                </pic:pic>
              </a:graphicData>
            </a:graphic>
          </wp:anchor>
        </w:drawing>
      </w:r>
    </w:p>
    <w:p>
      <w:pPr>
        <w:ind w:left="2840"/>
        <w:spacing w:after="0" w:line="225" w:lineRule="auto"/>
        <w:rPr>
          <w:sz w:val="20"/>
          <w:szCs w:val="20"/>
          <w:color w:val="auto"/>
        </w:rPr>
      </w:pPr>
      <w:r>
        <w:rPr>
          <w:rFonts w:ascii="Arial" w:cs="Arial" w:eastAsia="Arial" w:hAnsi="Arial"/>
          <w:sz w:val="20"/>
          <w:szCs w:val="20"/>
          <w:b w:val="1"/>
          <w:bCs w:val="1"/>
          <w:color w:val="auto"/>
        </w:rPr>
        <w:t>approval of compensation of Carter’s</w:t>
      </w:r>
    </w:p>
    <w:p>
      <w:pPr>
        <w:ind w:left="2840"/>
        <w:spacing w:after="0"/>
        <w:rPr>
          <w:sz w:val="20"/>
          <w:szCs w:val="20"/>
          <w:color w:val="auto"/>
        </w:rPr>
      </w:pPr>
      <w:r>
        <w:rPr>
          <w:rFonts w:ascii="Arial" w:cs="Arial" w:eastAsia="Arial" w:hAnsi="Arial"/>
          <w:sz w:val="20"/>
          <w:szCs w:val="20"/>
          <w:b w:val="1"/>
          <w:bCs w:val="1"/>
          <w:color w:val="auto"/>
        </w:rPr>
        <w:t>NEOs as disclosed in this proxy</w:t>
      </w:r>
    </w:p>
    <w:p>
      <w:pPr>
        <w:ind w:left="2840"/>
        <w:spacing w:after="0"/>
        <w:rPr>
          <w:sz w:val="20"/>
          <w:szCs w:val="20"/>
          <w:color w:val="auto"/>
        </w:rPr>
      </w:pPr>
      <w:r>
        <w:rPr>
          <w:rFonts w:ascii="Arial" w:cs="Arial" w:eastAsia="Arial" w:hAnsi="Arial"/>
          <w:sz w:val="20"/>
          <w:szCs w:val="20"/>
          <w:b w:val="1"/>
          <w:bCs w:val="1"/>
          <w:color w:val="auto"/>
        </w:rPr>
        <w:t>statement.</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3054"/>
        </w:rPr>
        <w:t>VOTE REQUIRED</w:t>
      </w:r>
    </w:p>
    <w:p>
      <w:pPr>
        <w:spacing w:after="0" w:line="64" w:lineRule="exact"/>
        <w:rPr>
          <w:sz w:val="20"/>
          <w:szCs w:val="20"/>
          <w:color w:val="auto"/>
        </w:rPr>
      </w:pPr>
    </w:p>
    <w:p>
      <w:pPr>
        <w:ind w:left="140" w:right="200"/>
        <w:spacing w:after="0" w:line="244" w:lineRule="auto"/>
        <w:rPr>
          <w:sz w:val="20"/>
          <w:szCs w:val="20"/>
          <w:color w:val="auto"/>
        </w:rPr>
      </w:pPr>
      <w:r>
        <w:rPr>
          <w:rFonts w:ascii="Arial" w:cs="Arial" w:eastAsia="Arial" w:hAnsi="Arial"/>
          <w:sz w:val="20"/>
          <w:szCs w:val="20"/>
          <w:color w:val="auto"/>
        </w:rPr>
        <w:t>Because this Proposal Number Two asks for a non-binding, advisory vote, there is no required vote that would constitute approval. We value the opinions expressed by our shareholders in this advisory vote, and our Compensation &amp; Human Capital Committee will consider the outcome of the vote when designing our compensation programs and making future compensation decisions for our NEOs. Abstentions and broker non-votes, if any, will not have any impact on this advisory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299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AUDIT COMMITTEE REPORT</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Audit Committee reviews the Company’s accounting, auditing, and financial reporting process on behalf of the Board. The Audit Committee’s charter is available in the investor relations section of our website at ir.carters.com. Management has the primary responsibility for establishing and maintaining adequate internal financial controls, for preparing the financial statements, and for the public reporting process. PricewaterhouseCoopers LLP (“PwC”), the Company’s independent registered public accounting firm, is responsible for expressing opinions on the conformity of the Company’s audited consolidated financial statements with accounting principles generally accepted in the United States and on the effectiveness of the Company’s internal control over financial reporting.</w:t>
      </w:r>
    </w:p>
    <w:p>
      <w:pPr>
        <w:spacing w:after="0" w:line="199" w:lineRule="exact"/>
        <w:rPr>
          <w:sz w:val="20"/>
          <w:szCs w:val="20"/>
          <w:color w:val="auto"/>
        </w:rPr>
      </w:pPr>
    </w:p>
    <w:p>
      <w:pPr>
        <w:ind w:left="140" w:right="460"/>
        <w:spacing w:after="0" w:line="255" w:lineRule="auto"/>
        <w:rPr>
          <w:sz w:val="20"/>
          <w:szCs w:val="20"/>
          <w:color w:val="auto"/>
        </w:rPr>
      </w:pPr>
      <w:r>
        <w:rPr>
          <w:rFonts w:ascii="Arial" w:cs="Arial" w:eastAsia="Arial" w:hAnsi="Arial"/>
          <w:sz w:val="19"/>
          <w:szCs w:val="19"/>
          <w:color w:val="auto"/>
        </w:rPr>
        <w:t>In fulfilling its oversight responsibilities, the Audit Committee reviewed and discussed the Company’s audited financial statements for the year ended December 28, 2024 with management, including a discussion of the quality of financial reporting, the reasonableness of significant judgments, and the clarity of disclosures in the financial statements. The Audit Committee also discussed with PwC the matters required to be discussed by Auditing Standard No. 1301, as adopted by the Public Company Accounting Oversight Board, relating to communication with audit committees.</w:t>
      </w:r>
    </w:p>
    <w:p>
      <w:pPr>
        <w:spacing w:after="0" w:line="187" w:lineRule="exact"/>
        <w:rPr>
          <w:sz w:val="20"/>
          <w:szCs w:val="20"/>
          <w:color w:val="auto"/>
        </w:rPr>
      </w:pPr>
    </w:p>
    <w:p>
      <w:pPr>
        <w:ind w:left="140" w:right="480"/>
        <w:spacing w:after="0" w:line="244" w:lineRule="auto"/>
        <w:rPr>
          <w:sz w:val="20"/>
          <w:szCs w:val="20"/>
          <w:color w:val="auto"/>
        </w:rPr>
      </w:pPr>
      <w:r>
        <w:rPr>
          <w:rFonts w:ascii="Arial" w:cs="Arial" w:eastAsia="Arial" w:hAnsi="Arial"/>
          <w:sz w:val="20"/>
          <w:szCs w:val="20"/>
          <w:color w:val="auto"/>
        </w:rPr>
        <w:t>In addition, the Audit Committee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discussed with PwC its independence from the Company and the Company’s management.</w:t>
      </w:r>
    </w:p>
    <w:p>
      <w:pPr>
        <w:spacing w:after="0" w:line="181" w:lineRule="exact"/>
        <w:rPr>
          <w:sz w:val="20"/>
          <w:szCs w:val="20"/>
          <w:color w:val="auto"/>
        </w:rPr>
      </w:pPr>
    </w:p>
    <w:p>
      <w:pPr>
        <w:jc w:val="both"/>
        <w:ind w:left="140" w:right="560"/>
        <w:spacing w:after="0" w:line="248" w:lineRule="auto"/>
        <w:rPr>
          <w:sz w:val="20"/>
          <w:szCs w:val="20"/>
          <w:color w:val="auto"/>
        </w:rPr>
      </w:pPr>
      <w:r>
        <w:rPr>
          <w:rFonts w:ascii="Arial" w:cs="Arial" w:eastAsia="Arial" w:hAnsi="Arial"/>
          <w:sz w:val="20"/>
          <w:szCs w:val="20"/>
          <w:color w:val="auto"/>
        </w:rPr>
        <w:t>Based on the reviews and discussions described in the preceding paragraphs, the Audit Committee recommended to the Board that the audited financial statements of the Company be included in the Annual Report on Form 10-K for filing with the SEC.</w:t>
      </w:r>
    </w:p>
    <w:p>
      <w:pPr>
        <w:spacing w:after="0" w:line="163"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Submitted by the Audit Committee</w:t>
      </w:r>
    </w:p>
    <w:p>
      <w:pPr>
        <w:spacing w:after="0" w:line="1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Ms. Gretchen W. Schar, Chairperson</w:t>
      </w:r>
    </w:p>
    <w:p>
      <w:pPr>
        <w:ind w:left="4900"/>
        <w:spacing w:after="0" w:line="197" w:lineRule="auto"/>
        <w:rPr>
          <w:sz w:val="20"/>
          <w:szCs w:val="20"/>
          <w:color w:val="auto"/>
        </w:rPr>
      </w:pPr>
      <w:r>
        <w:rPr>
          <w:rFonts w:ascii="Arial" w:cs="Arial" w:eastAsia="Arial" w:hAnsi="Arial"/>
          <w:sz w:val="20"/>
          <w:szCs w:val="20"/>
          <w:color w:val="auto"/>
        </w:rPr>
        <w:t>Mr. Jeffrey H. Black</w:t>
      </w:r>
    </w:p>
    <w:p>
      <w:pPr>
        <w:ind w:left="4900"/>
        <w:spacing w:after="0" w:line="211" w:lineRule="auto"/>
        <w:rPr>
          <w:sz w:val="20"/>
          <w:szCs w:val="20"/>
          <w:color w:val="auto"/>
        </w:rPr>
      </w:pPr>
      <w:r>
        <w:rPr>
          <w:rFonts w:ascii="Arial" w:cs="Arial" w:eastAsia="Arial" w:hAnsi="Arial"/>
          <w:sz w:val="20"/>
          <w:szCs w:val="20"/>
          <w:color w:val="auto"/>
        </w:rPr>
        <w:t>Mr. Luis Borgen</w:t>
      </w:r>
    </w:p>
    <w:p>
      <w:pPr>
        <w:ind w:left="4900"/>
        <w:spacing w:after="0" w:line="211" w:lineRule="auto"/>
        <w:rPr>
          <w:sz w:val="20"/>
          <w:szCs w:val="20"/>
          <w:color w:val="auto"/>
        </w:rPr>
      </w:pPr>
      <w:r>
        <w:rPr>
          <w:rFonts w:ascii="Arial" w:cs="Arial" w:eastAsia="Arial" w:hAnsi="Arial"/>
          <w:sz w:val="20"/>
          <w:szCs w:val="20"/>
          <w:color w:val="auto"/>
        </w:rPr>
        <w:t>Mr. Mark P. Hipp</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Ms. Stacey S. Rauch</w:t>
      </w:r>
    </w:p>
    <w:p>
      <w:pPr>
        <w:spacing w:after="0" w:line="144" w:lineRule="exact"/>
        <w:rPr>
          <w:sz w:val="20"/>
          <w:szCs w:val="20"/>
          <w:color w:val="auto"/>
        </w:rPr>
      </w:pPr>
    </w:p>
    <w:p>
      <w:pPr>
        <w:ind w:left="140" w:right="80"/>
        <w:spacing w:after="0" w:line="241" w:lineRule="auto"/>
        <w:rPr>
          <w:sz w:val="20"/>
          <w:szCs w:val="20"/>
          <w:color w:val="auto"/>
        </w:rPr>
      </w:pPr>
      <w:r>
        <w:rPr>
          <w:rFonts w:ascii="Arial" w:cs="Arial" w:eastAsia="Arial" w:hAnsi="Arial"/>
          <w:sz w:val="20"/>
          <w:szCs w:val="20"/>
          <w:i w:val="1"/>
          <w:iCs w:val="1"/>
          <w:color w:val="auto"/>
        </w:rPr>
        <w:t>The Audit Committee Report does not constitute soliciting material and shall not be deemed to be filed or incorporated by reference into any other filing under the Securities Act of 1933, as amended, or the Exchange Act, except to the extent that we specifically incorporate the Audit Committee Report by</w:t>
      </w:r>
    </w:p>
    <w:p>
      <w:pPr>
        <w:sectPr>
          <w:pgSz w:w="11900" w:h="16838" w:orient="portrait"/>
          <w:cols w:equalWidth="0" w:num="1">
            <w:col w:w="9380"/>
          </w:cols>
          <w:pgMar w:left="1440" w:top="95" w:right="1079" w:bottom="0" w:gutter="0" w:footer="0" w:header="0"/>
        </w:sectPr>
      </w:pPr>
    </w:p>
    <w:p>
      <w:pPr>
        <w:ind w:left="140"/>
        <w:spacing w:after="0"/>
        <w:rPr>
          <w:sz w:val="20"/>
          <w:szCs w:val="20"/>
          <w:color w:val="auto"/>
        </w:rPr>
      </w:pPr>
      <w:r>
        <w:rPr>
          <w:rFonts w:ascii="Arial" w:cs="Arial" w:eastAsia="Arial" w:hAnsi="Arial"/>
          <w:sz w:val="19"/>
          <w:szCs w:val="19"/>
          <w:i w:val="1"/>
          <w:iCs w:val="1"/>
          <w:color w:val="auto"/>
        </w:rPr>
        <w:t>reference therein.</w:t>
      </w:r>
    </w:p>
    <w:p>
      <w:pPr>
        <w:sectPr>
          <w:pgSz w:w="11900" w:h="16838" w:orient="portrait"/>
          <w:cols w:equalWidth="0" w:num="1">
            <w:col w:w="9380"/>
          </w:cols>
          <w:pgMar w:left="1440" w:top="95" w:right="1079" w:bottom="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55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787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10375" cy="7877175"/>
                    </a:xfrm>
                    <a:prstGeom prst="rect">
                      <a:avLst/>
                    </a:prstGeom>
                    <a:noFill/>
                  </pic:spPr>
                </pic:pic>
              </a:graphicData>
            </a:graphic>
          </wp:anchor>
        </w:drawing>
      </w:r>
    </w:p>
    <w:p>
      <w:pPr>
        <w:sectPr>
          <w:pgSz w:w="11900" w:h="16838" w:orient="portrait"/>
          <w:cols w:equalWidth="0" w:num="1">
            <w:col w:w="9320"/>
          </w:cols>
          <w:pgMar w:left="1440" w:top="1440" w:right="1139" w:bottom="7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123054"/>
        </w:rPr>
        <w:t>PROPOSAL NUMBER THREE</w:t>
      </w:r>
    </w:p>
    <w:p>
      <w:pPr>
        <w:spacing w:after="0" w:line="4" w:lineRule="exact"/>
        <w:rPr>
          <w:sz w:val="20"/>
          <w:szCs w:val="20"/>
          <w:color w:val="auto"/>
        </w:rPr>
      </w:pPr>
    </w:p>
    <w:p>
      <w:pPr>
        <w:ind w:left="140" w:right="500"/>
        <w:spacing w:after="0"/>
        <w:rPr>
          <w:sz w:val="20"/>
          <w:szCs w:val="20"/>
          <w:color w:val="auto"/>
        </w:rPr>
      </w:pPr>
      <w:r>
        <w:rPr>
          <w:rFonts w:ascii="Arial" w:cs="Arial" w:eastAsia="Arial" w:hAnsi="Arial"/>
          <w:sz w:val="32"/>
          <w:szCs w:val="32"/>
          <w:b w:val="1"/>
          <w:bCs w:val="1"/>
          <w:color w:val="123054"/>
        </w:rPr>
        <w:t>RATIFICATION OF INDEPENDENT REGISTERED PUBLIC ACCOUNTING FIRM</w:t>
      </w:r>
    </w:p>
    <w:p>
      <w:pPr>
        <w:spacing w:after="0" w:line="103" w:lineRule="exact"/>
        <w:rPr>
          <w:sz w:val="20"/>
          <w:szCs w:val="20"/>
          <w:color w:val="auto"/>
        </w:rPr>
      </w:pPr>
    </w:p>
    <w:p>
      <w:pPr>
        <w:ind w:left="140"/>
        <w:spacing w:after="0" w:line="237" w:lineRule="auto"/>
        <w:rPr>
          <w:sz w:val="20"/>
          <w:szCs w:val="20"/>
          <w:color w:val="auto"/>
        </w:rPr>
      </w:pPr>
      <w:r>
        <w:rPr>
          <w:rFonts w:ascii="Arial" w:cs="Arial" w:eastAsia="Arial" w:hAnsi="Arial"/>
          <w:sz w:val="20"/>
          <w:szCs w:val="20"/>
          <w:color w:val="auto"/>
        </w:rPr>
        <w:t>The Audit Committee of the Board has appointed PwC to serve as Carter’s independent registered public accounting firm for fiscal2025. The Board is submitting the appointment of PwC as Carter’s independent registered public accounting firm for shareholder ratification and recommends that shareholders ratify this appointment. The Board recommends that shareholders ratify this appointment at the Annual Meeting. Shareholder ratification of the appointment of PwC is not required by law or otherwise. The Board is submitting this matter to shareholders for ratification because the Board believes it to be a good corporate governance practice. If the shareholders do not ratify the appointment, the Audit Committee may reconsider whether or not to retain PwC. Even if the appointment is ratified, the Audit Committee may appoint a different independent registered public accounting firm at any time during the year if, in its discretion, it determines that such a change would be in Carter’s best interest and that of Carter’s shareholders. A representative of PwC is expected to virtually attend the Annual Meeting, and he or she will have the opportunity to make a statement and will be available to respond to appropriate questions. For additional information regarding Carter’s relationship with PwC, please refer to the Audit Committee Report above.</w:t>
      </w:r>
    </w:p>
    <w:p>
      <w:pPr>
        <w:spacing w:after="0" w:line="182" w:lineRule="exact"/>
        <w:rPr>
          <w:sz w:val="20"/>
          <w:szCs w:val="20"/>
          <w:color w:val="auto"/>
        </w:rPr>
      </w:pPr>
    </w:p>
    <w:p>
      <w:pPr>
        <w:ind w:left="140" w:right="120"/>
        <w:spacing w:after="0"/>
        <w:rPr>
          <w:sz w:val="20"/>
          <w:szCs w:val="20"/>
          <w:color w:val="auto"/>
        </w:rPr>
      </w:pPr>
      <w:r>
        <w:rPr>
          <w:rFonts w:ascii="Arial" w:cs="Arial" w:eastAsia="Arial" w:hAnsi="Arial"/>
          <w:sz w:val="20"/>
          <w:szCs w:val="20"/>
          <w:color w:val="auto"/>
        </w:rPr>
        <w:t>The Audit Committee has also adopted policies and procedures for pre-approving all non-audit work performed by PwC. The Audit Committee has pre-approved the use, as needed, of PwC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PwC in the table below were pre-approved by the Audit Committee.</w:t>
      </w:r>
    </w:p>
    <w:p>
      <w:pPr>
        <w:spacing w:after="0" w:line="172" w:lineRule="exact"/>
        <w:rPr>
          <w:sz w:val="20"/>
          <w:szCs w:val="20"/>
          <w:color w:val="auto"/>
        </w:rPr>
      </w:pPr>
    </w:p>
    <w:p>
      <w:pPr>
        <w:ind w:left="140" w:right="480"/>
        <w:spacing w:after="0" w:line="243" w:lineRule="auto"/>
        <w:rPr>
          <w:sz w:val="20"/>
          <w:szCs w:val="20"/>
          <w:color w:val="auto"/>
        </w:rPr>
      </w:pPr>
      <w:r>
        <w:rPr>
          <w:rFonts w:ascii="Arial" w:cs="Arial" w:eastAsia="Arial" w:hAnsi="Arial"/>
          <w:sz w:val="20"/>
          <w:szCs w:val="20"/>
          <w:color w:val="auto"/>
        </w:rPr>
        <w:t>The aggregate fees that Carter's incurred for professional services rendered by PwC for fiscal2024years and 2023 were as follows:</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6220" w:type="dxa"/>
            <w:vAlign w:val="bottom"/>
            <w:tcBorders>
              <w:right w:val="single" w:sz="8" w:color="123054"/>
            </w:tcBorders>
            <w:shd w:val="clear" w:color="auto" w:fill="123054"/>
          </w:tcPr>
          <w:p>
            <w:pPr>
              <w:spacing w:after="0"/>
              <w:rPr>
                <w:sz w:val="24"/>
                <w:szCs w:val="24"/>
                <w:color w:val="auto"/>
              </w:rPr>
            </w:pPr>
          </w:p>
        </w:tc>
        <w:tc>
          <w:tcPr>
            <w:tcW w:w="260" w:type="dxa"/>
            <w:vAlign w:val="bottom"/>
            <w:shd w:val="clear" w:color="auto" w:fill="123054"/>
          </w:tcPr>
          <w:p>
            <w:pPr>
              <w:spacing w:after="0"/>
              <w:rPr>
                <w:sz w:val="24"/>
                <w:szCs w:val="24"/>
                <w:color w:val="auto"/>
              </w:rPr>
            </w:pPr>
          </w:p>
        </w:tc>
        <w:tc>
          <w:tcPr>
            <w:tcW w:w="1020" w:type="dxa"/>
            <w:vAlign w:val="bottom"/>
            <w:tcBorders>
              <w:right w:val="single" w:sz="8" w:color="123054"/>
            </w:tcBorders>
            <w:shd w:val="clear" w:color="auto" w:fill="123054"/>
          </w:tcPr>
          <w:p>
            <w:pPr>
              <w:jc w:val="right"/>
              <w:ind w:right="341"/>
              <w:spacing w:after="0"/>
              <w:rPr>
                <w:sz w:val="20"/>
                <w:szCs w:val="20"/>
                <w:color w:val="auto"/>
              </w:rPr>
            </w:pPr>
            <w:r>
              <w:rPr>
                <w:rFonts w:ascii="Arial" w:cs="Arial" w:eastAsia="Arial" w:hAnsi="Arial"/>
                <w:sz w:val="20"/>
                <w:szCs w:val="20"/>
                <w:b w:val="1"/>
                <w:bCs w:val="1"/>
                <w:color w:val="FBFBFB"/>
              </w:rPr>
              <w:t>2024</w:t>
            </w:r>
          </w:p>
        </w:tc>
        <w:tc>
          <w:tcPr>
            <w:tcW w:w="260" w:type="dxa"/>
            <w:vAlign w:val="bottom"/>
            <w:shd w:val="clear" w:color="auto" w:fill="123054"/>
          </w:tcPr>
          <w:p>
            <w:pPr>
              <w:spacing w:after="0"/>
              <w:rPr>
                <w:sz w:val="24"/>
                <w:szCs w:val="24"/>
                <w:color w:val="auto"/>
              </w:rPr>
            </w:pPr>
          </w:p>
        </w:tc>
        <w:tc>
          <w:tcPr>
            <w:tcW w:w="1000" w:type="dxa"/>
            <w:vAlign w:val="bottom"/>
            <w:shd w:val="clear" w:color="auto" w:fill="123054"/>
          </w:tcPr>
          <w:p>
            <w:pPr>
              <w:jc w:val="right"/>
              <w:ind w:right="321"/>
              <w:spacing w:after="0"/>
              <w:rPr>
                <w:sz w:val="20"/>
                <w:szCs w:val="20"/>
                <w:color w:val="auto"/>
              </w:rPr>
            </w:pPr>
            <w:r>
              <w:rPr>
                <w:rFonts w:ascii="Arial" w:cs="Arial" w:eastAsia="Arial" w:hAnsi="Arial"/>
                <w:sz w:val="20"/>
                <w:szCs w:val="20"/>
                <w:b w:val="1"/>
                <w:bCs w:val="1"/>
                <w:color w:val="FBFBFB"/>
              </w:rPr>
              <w:t>2023</w:t>
            </w:r>
          </w:p>
        </w:tc>
        <w:tc>
          <w:tcPr>
            <w:tcW w:w="20" w:type="dxa"/>
            <w:vAlign w:val="bottom"/>
          </w:tcPr>
          <w:p>
            <w:pPr>
              <w:spacing w:after="0"/>
              <w:rPr>
                <w:sz w:val="24"/>
                <w:szCs w:val="24"/>
                <w:color w:val="auto"/>
              </w:rPr>
            </w:pPr>
          </w:p>
        </w:tc>
      </w:tr>
      <w:tr>
        <w:trPr>
          <w:trHeight w:val="284"/>
        </w:trPr>
        <w:tc>
          <w:tcPr>
            <w:tcW w:w="6220" w:type="dxa"/>
            <w:vAlign w:val="bottom"/>
            <w:tcBorders>
              <w:right w:val="single" w:sz="8" w:color="2E8BD3"/>
            </w:tcBorders>
            <w:shd w:val="clear" w:color="auto" w:fill="DBDBDB"/>
          </w:tcPr>
          <w:p>
            <w:pPr>
              <w:ind w:left="140"/>
              <w:spacing w:after="0"/>
              <w:rPr>
                <w:sz w:val="20"/>
                <w:szCs w:val="20"/>
                <w:color w:val="auto"/>
              </w:rPr>
            </w:pPr>
            <w:r>
              <w:rPr>
                <w:rFonts w:ascii="Arial" w:cs="Arial" w:eastAsia="Arial" w:hAnsi="Arial"/>
                <w:sz w:val="20"/>
                <w:szCs w:val="20"/>
                <w:color w:val="auto"/>
              </w:rPr>
              <w:t>Audit Fees</w:t>
            </w:r>
          </w:p>
        </w:tc>
        <w:tc>
          <w:tcPr>
            <w:tcW w:w="260" w:type="dxa"/>
            <w:vAlign w:val="bottom"/>
            <w:shd w:val="clear" w:color="auto" w:fill="DBDBDB"/>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2E8BD3"/>
            </w:tcBorders>
            <w:shd w:val="clear" w:color="auto" w:fill="DBDBDB"/>
          </w:tcPr>
          <w:p>
            <w:pPr>
              <w:jc w:val="right"/>
              <w:spacing w:after="0"/>
              <w:rPr>
                <w:sz w:val="20"/>
                <w:szCs w:val="20"/>
                <w:color w:val="auto"/>
              </w:rPr>
            </w:pPr>
            <w:r>
              <w:rPr>
                <w:rFonts w:ascii="Arial" w:cs="Arial" w:eastAsia="Arial" w:hAnsi="Arial"/>
                <w:sz w:val="20"/>
                <w:szCs w:val="20"/>
                <w:color w:val="auto"/>
              </w:rPr>
              <w:t>2,331,100</w:t>
            </w:r>
          </w:p>
        </w:tc>
        <w:tc>
          <w:tcPr>
            <w:tcW w:w="260" w:type="dxa"/>
            <w:vAlign w:val="bottom"/>
            <w:shd w:val="clear" w:color="auto" w:fill="DBDBDB"/>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20"/>
                <w:szCs w:val="20"/>
                <w:color w:val="auto"/>
              </w:rPr>
              <w:t>2,079,000</w:t>
            </w:r>
          </w:p>
        </w:tc>
        <w:tc>
          <w:tcPr>
            <w:tcW w:w="20" w:type="dxa"/>
            <w:vAlign w:val="bottom"/>
          </w:tcPr>
          <w:p>
            <w:pPr>
              <w:spacing w:after="0"/>
              <w:rPr>
                <w:sz w:val="24"/>
                <w:szCs w:val="24"/>
                <w:color w:val="auto"/>
              </w:rPr>
            </w:pPr>
          </w:p>
        </w:tc>
      </w:tr>
      <w:tr>
        <w:trPr>
          <w:trHeight w:val="275"/>
        </w:trPr>
        <w:tc>
          <w:tcPr>
            <w:tcW w:w="6220" w:type="dxa"/>
            <w:vAlign w:val="bottom"/>
            <w:tcBorders>
              <w:right w:val="single" w:sz="8" w:color="2E8BD3"/>
            </w:tcBorders>
          </w:tcPr>
          <w:p>
            <w:pPr>
              <w:ind w:left="140"/>
              <w:spacing w:after="0"/>
              <w:rPr>
                <w:sz w:val="20"/>
                <w:szCs w:val="20"/>
                <w:color w:val="auto"/>
              </w:rPr>
            </w:pPr>
            <w:r>
              <w:rPr>
                <w:rFonts w:ascii="Arial" w:cs="Arial" w:eastAsia="Arial" w:hAnsi="Arial"/>
                <w:sz w:val="20"/>
                <w:szCs w:val="20"/>
                <w:color w:val="auto"/>
              </w:rPr>
              <w:t>Tax Fees</w:t>
            </w:r>
          </w:p>
        </w:tc>
        <w:tc>
          <w:tcPr>
            <w:tcW w:w="260" w:type="dxa"/>
            <w:vAlign w:val="bottom"/>
          </w:tcPr>
          <w:p>
            <w:pPr>
              <w:spacing w:after="0"/>
              <w:rPr>
                <w:sz w:val="23"/>
                <w:szCs w:val="23"/>
                <w:color w:val="auto"/>
              </w:rPr>
            </w:pPr>
          </w:p>
        </w:tc>
        <w:tc>
          <w:tcPr>
            <w:tcW w:w="1020" w:type="dxa"/>
            <w:vAlign w:val="bottom"/>
            <w:tcBorders>
              <w:right w:val="single" w:sz="8" w:color="2E8BD3"/>
            </w:tcBorders>
          </w:tcPr>
          <w:p>
            <w:pPr>
              <w:jc w:val="right"/>
              <w:spacing w:after="0"/>
              <w:rPr>
                <w:sz w:val="20"/>
                <w:szCs w:val="20"/>
                <w:color w:val="auto"/>
              </w:rPr>
            </w:pPr>
            <w:r>
              <w:rPr>
                <w:rFonts w:ascii="Arial" w:cs="Arial" w:eastAsia="Arial" w:hAnsi="Arial"/>
                <w:sz w:val="20"/>
                <w:szCs w:val="20"/>
                <w:color w:val="auto"/>
              </w:rPr>
              <w:t>155,000</w:t>
            </w:r>
          </w:p>
        </w:tc>
        <w:tc>
          <w:tcPr>
            <w:tcW w:w="2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85"/>
        </w:trPr>
        <w:tc>
          <w:tcPr>
            <w:tcW w:w="6220" w:type="dxa"/>
            <w:vAlign w:val="bottom"/>
            <w:tcBorders>
              <w:bottom w:val="single" w:sz="8" w:color="2E8BD3"/>
              <w:right w:val="single" w:sz="8" w:color="2E8BD3"/>
            </w:tcBorders>
            <w:shd w:val="clear" w:color="auto" w:fill="E4E4E4"/>
          </w:tcPr>
          <w:p>
            <w:pPr>
              <w:ind w:left="140"/>
              <w:spacing w:after="0"/>
              <w:rPr>
                <w:sz w:val="20"/>
                <w:szCs w:val="20"/>
                <w:color w:val="auto"/>
              </w:rPr>
            </w:pPr>
            <w:r>
              <w:rPr>
                <w:rFonts w:ascii="Arial" w:cs="Arial" w:eastAsia="Arial" w:hAnsi="Arial"/>
                <w:sz w:val="20"/>
                <w:szCs w:val="20"/>
                <w:color w:val="auto"/>
              </w:rPr>
              <w:t>All Other Fees</w:t>
            </w:r>
          </w:p>
        </w:tc>
        <w:tc>
          <w:tcPr>
            <w:tcW w:w="260" w:type="dxa"/>
            <w:vAlign w:val="bottom"/>
            <w:tcBorders>
              <w:bottom w:val="single" w:sz="8" w:color="2E8BD3"/>
            </w:tcBorders>
            <w:shd w:val="clear" w:color="auto" w:fill="E4E4E4"/>
          </w:tcPr>
          <w:p>
            <w:pPr>
              <w:spacing w:after="0"/>
              <w:rPr>
                <w:sz w:val="24"/>
                <w:szCs w:val="24"/>
                <w:color w:val="auto"/>
              </w:rPr>
            </w:pPr>
          </w:p>
        </w:tc>
        <w:tc>
          <w:tcPr>
            <w:tcW w:w="1020" w:type="dxa"/>
            <w:vAlign w:val="bottom"/>
            <w:tcBorders>
              <w:bottom w:val="single" w:sz="8" w:color="2E8BD3"/>
              <w:right w:val="single" w:sz="8" w:color="2E8BD3"/>
            </w:tcBorders>
            <w:shd w:val="clear" w:color="auto" w:fill="E4E4E4"/>
          </w:tcPr>
          <w:p>
            <w:pPr>
              <w:jc w:val="right"/>
              <w:spacing w:after="0"/>
              <w:rPr>
                <w:sz w:val="20"/>
                <w:szCs w:val="20"/>
                <w:color w:val="auto"/>
              </w:rPr>
            </w:pPr>
            <w:r>
              <w:rPr>
                <w:rFonts w:ascii="Arial" w:cs="Arial" w:eastAsia="Arial" w:hAnsi="Arial"/>
                <w:sz w:val="20"/>
                <w:szCs w:val="20"/>
                <w:color w:val="auto"/>
              </w:rPr>
              <w:t>2,000</w:t>
            </w:r>
          </w:p>
        </w:tc>
        <w:tc>
          <w:tcPr>
            <w:tcW w:w="260" w:type="dxa"/>
            <w:vAlign w:val="bottom"/>
            <w:tcBorders>
              <w:bottom w:val="single" w:sz="8" w:color="2E8BD3"/>
            </w:tcBorders>
            <w:shd w:val="clear" w:color="auto" w:fill="E4E4E4"/>
          </w:tcPr>
          <w:p>
            <w:pPr>
              <w:spacing w:after="0"/>
              <w:rPr>
                <w:sz w:val="24"/>
                <w:szCs w:val="24"/>
                <w:color w:val="auto"/>
              </w:rPr>
            </w:pPr>
          </w:p>
        </w:tc>
        <w:tc>
          <w:tcPr>
            <w:tcW w:w="1000" w:type="dxa"/>
            <w:vAlign w:val="bottom"/>
            <w:tcBorders>
              <w:bottom w:val="single" w:sz="8" w:color="2E8BD3"/>
            </w:tcBorders>
            <w:shd w:val="clear" w:color="auto" w:fill="E4E4E4"/>
          </w:tcPr>
          <w:p>
            <w:pPr>
              <w:jc w:val="right"/>
              <w:spacing w:after="0"/>
              <w:rPr>
                <w:sz w:val="20"/>
                <w:szCs w:val="20"/>
                <w:color w:val="auto"/>
              </w:rPr>
            </w:pPr>
            <w:r>
              <w:rPr>
                <w:rFonts w:ascii="Arial" w:cs="Arial" w:eastAsia="Arial" w:hAnsi="Arial"/>
                <w:sz w:val="20"/>
                <w:szCs w:val="20"/>
                <w:color w:val="auto"/>
              </w:rPr>
              <w:t>4,500</w:t>
            </w:r>
          </w:p>
        </w:tc>
        <w:tc>
          <w:tcPr>
            <w:tcW w:w="20" w:type="dxa"/>
            <w:vAlign w:val="bottom"/>
          </w:tcPr>
          <w:p>
            <w:pPr>
              <w:spacing w:after="0"/>
              <w:rPr>
                <w:sz w:val="24"/>
                <w:szCs w:val="24"/>
                <w:color w:val="auto"/>
              </w:rPr>
            </w:pPr>
          </w:p>
        </w:tc>
      </w:tr>
      <w:tr>
        <w:trPr>
          <w:trHeight w:val="266"/>
        </w:trPr>
        <w:tc>
          <w:tcPr>
            <w:tcW w:w="6220" w:type="dxa"/>
            <w:vAlign w:val="bottom"/>
            <w:tcBorders>
              <w:bottom w:val="single" w:sz="8" w:color="2E8BD3"/>
              <w:right w:val="single" w:sz="8" w:color="2E8BD3"/>
            </w:tcBorders>
          </w:tcPr>
          <w:p>
            <w:pPr>
              <w:ind w:left="380"/>
              <w:spacing w:after="0"/>
              <w:rPr>
                <w:sz w:val="20"/>
                <w:szCs w:val="20"/>
                <w:color w:val="auto"/>
              </w:rPr>
            </w:pPr>
            <w:r>
              <w:rPr>
                <w:rFonts w:ascii="Arial" w:cs="Arial" w:eastAsia="Arial" w:hAnsi="Arial"/>
                <w:sz w:val="20"/>
                <w:szCs w:val="20"/>
                <w:color w:val="auto"/>
              </w:rPr>
              <w:t>Total Fees</w:t>
            </w:r>
          </w:p>
        </w:tc>
        <w:tc>
          <w:tcPr>
            <w:tcW w:w="260" w:type="dxa"/>
            <w:vAlign w:val="bottom"/>
            <w:tcBorders>
              <w:bottom w:val="single" w:sz="8" w:color="2E8BD3"/>
            </w:tcBorders>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2E8BD3"/>
            </w:tcBorders>
          </w:tcPr>
          <w:p>
            <w:pPr>
              <w:jc w:val="right"/>
              <w:spacing w:after="0"/>
              <w:rPr>
                <w:sz w:val="20"/>
                <w:szCs w:val="20"/>
                <w:color w:val="auto"/>
              </w:rPr>
            </w:pPr>
            <w:r>
              <w:rPr>
                <w:rFonts w:ascii="Arial" w:cs="Arial" w:eastAsia="Arial" w:hAnsi="Arial"/>
                <w:sz w:val="20"/>
                <w:szCs w:val="20"/>
                <w:color w:val="auto"/>
              </w:rPr>
              <w:t>2,488,100</w:t>
            </w:r>
          </w:p>
        </w:tc>
        <w:tc>
          <w:tcPr>
            <w:tcW w:w="260" w:type="dxa"/>
            <w:vAlign w:val="bottom"/>
            <w:tcBorders>
              <w:bottom w:val="single" w:sz="8" w:color="2E8BD3"/>
            </w:tcBorders>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2E8BD3"/>
            </w:tcBorders>
          </w:tcPr>
          <w:p>
            <w:pPr>
              <w:jc w:val="right"/>
              <w:spacing w:after="0"/>
              <w:rPr>
                <w:sz w:val="20"/>
                <w:szCs w:val="20"/>
                <w:color w:val="auto"/>
              </w:rPr>
            </w:pPr>
            <w:r>
              <w:rPr>
                <w:rFonts w:ascii="Arial" w:cs="Arial" w:eastAsia="Arial" w:hAnsi="Arial"/>
                <w:sz w:val="20"/>
                <w:szCs w:val="20"/>
                <w:color w:val="auto"/>
              </w:rPr>
              <w:t>2,083,500</w:t>
            </w:r>
          </w:p>
        </w:tc>
        <w:tc>
          <w:tcPr>
            <w:tcW w:w="20" w:type="dxa"/>
            <w:vAlign w:val="bottom"/>
            <w:tcBorders>
              <w:bottom w:val="single" w:sz="8" w:color="2E8BD3"/>
            </w:tcBorders>
          </w:tcPr>
          <w:p>
            <w:pPr>
              <w:spacing w:after="0"/>
              <w:rPr>
                <w:sz w:val="23"/>
                <w:szCs w:val="23"/>
                <w:color w:val="auto"/>
              </w:rPr>
            </w:pPr>
          </w:p>
        </w:tc>
      </w:tr>
    </w:tbl>
    <w:p>
      <w:pPr>
        <w:spacing w:after="0" w:line="181" w:lineRule="exact"/>
        <w:rPr>
          <w:sz w:val="20"/>
          <w:szCs w:val="20"/>
          <w:color w:val="auto"/>
        </w:rPr>
      </w:pPr>
    </w:p>
    <w:p>
      <w:pPr>
        <w:ind w:left="420" w:right="280" w:hanging="235"/>
        <w:spacing w:after="0" w:line="245" w:lineRule="auto"/>
        <w:tabs>
          <w:tab w:leader="none" w:pos="420" w:val="left"/>
        </w:tabs>
        <w:numPr>
          <w:ilvl w:val="0"/>
          <w:numId w:val="81"/>
        </w:numPr>
        <w:rPr>
          <w:rFonts w:ascii="Arial" w:cs="Arial" w:eastAsia="Arial" w:hAnsi="Arial"/>
          <w:sz w:val="20"/>
          <w:szCs w:val="20"/>
          <w:color w:val="123054"/>
        </w:rPr>
      </w:pPr>
      <w:r>
        <w:rPr>
          <w:rFonts w:ascii="Arial" w:cs="Arial" w:eastAsia="Arial" w:hAnsi="Arial"/>
          <w:sz w:val="20"/>
          <w:szCs w:val="20"/>
          <w:i w:val="1"/>
          <w:iCs w:val="1"/>
          <w:color w:val="123054"/>
        </w:rPr>
        <w:t>Audit Fees</w:t>
      </w:r>
      <w:r>
        <w:rPr>
          <w:rFonts w:ascii="Arial" w:cs="Arial" w:eastAsia="Arial" w:hAnsi="Arial"/>
          <w:sz w:val="20"/>
          <w:szCs w:val="20"/>
          <w:color w:val="000000"/>
        </w:rPr>
        <w:t>for fiscal years2024 and 2023 were for professional services rendered for the integrated</w:t>
      </w:r>
      <w:r>
        <w:rPr>
          <w:rFonts w:ascii="Arial" w:cs="Arial" w:eastAsia="Arial" w:hAnsi="Arial"/>
          <w:sz w:val="20"/>
          <w:szCs w:val="20"/>
          <w:i w:val="1"/>
          <w:iCs w:val="1"/>
          <w:color w:val="123054"/>
        </w:rPr>
        <w:t xml:space="preserve"> </w:t>
      </w:r>
      <w:r>
        <w:rPr>
          <w:rFonts w:ascii="Arial" w:cs="Arial" w:eastAsia="Arial" w:hAnsi="Arial"/>
          <w:sz w:val="20"/>
          <w:szCs w:val="20"/>
          <w:color w:val="000000"/>
        </w:rPr>
        <w:t>audit of the consolidated financial statements and internal control over financial reporting of Carter's, other auditing procedures related to goodwill and intangible asset impairment testing, and related out-of-pocket expenses.</w:t>
      </w:r>
    </w:p>
    <w:p>
      <w:pPr>
        <w:spacing w:after="0" w:line="73" w:lineRule="exact"/>
        <w:rPr>
          <w:rFonts w:ascii="Arial" w:cs="Arial" w:eastAsia="Arial" w:hAnsi="Arial"/>
          <w:sz w:val="20"/>
          <w:szCs w:val="20"/>
          <w:color w:val="123054"/>
        </w:rPr>
      </w:pPr>
    </w:p>
    <w:p>
      <w:pPr>
        <w:ind w:left="420" w:hanging="234"/>
        <w:spacing w:after="0"/>
        <w:tabs>
          <w:tab w:leader="none" w:pos="420" w:val="left"/>
        </w:tabs>
        <w:numPr>
          <w:ilvl w:val="0"/>
          <w:numId w:val="81"/>
        </w:numPr>
        <w:rPr>
          <w:rFonts w:ascii="Arial" w:cs="Arial" w:eastAsia="Arial" w:hAnsi="Arial"/>
          <w:sz w:val="19"/>
          <w:szCs w:val="19"/>
          <w:color w:val="123054"/>
        </w:rPr>
      </w:pPr>
      <w:r>
        <w:rPr>
          <w:rFonts w:ascii="Arial" w:cs="Arial" w:eastAsia="Arial" w:hAnsi="Arial"/>
          <w:sz w:val="19"/>
          <w:szCs w:val="19"/>
          <w:i w:val="1"/>
          <w:iCs w:val="1"/>
          <w:color w:val="123054"/>
        </w:rPr>
        <w:t>Tax Fees</w:t>
      </w:r>
      <w:r>
        <w:rPr>
          <w:rFonts w:ascii="Arial" w:cs="Arial" w:eastAsia="Arial" w:hAnsi="Arial"/>
          <w:sz w:val="19"/>
          <w:szCs w:val="19"/>
          <w:color w:val="000000"/>
        </w:rPr>
        <w:t>for fiscal year 2024 were for tax compliance services. There were no tax fees for fiscal 2023.</w:t>
      </w:r>
    </w:p>
    <w:p>
      <w:pPr>
        <w:spacing w:after="0" w:line="78" w:lineRule="exact"/>
        <w:rPr>
          <w:rFonts w:ascii="Arial" w:cs="Arial" w:eastAsia="Arial" w:hAnsi="Arial"/>
          <w:sz w:val="19"/>
          <w:szCs w:val="19"/>
          <w:color w:val="123054"/>
        </w:rPr>
      </w:pPr>
    </w:p>
    <w:p>
      <w:pPr>
        <w:ind w:left="420" w:hanging="234"/>
        <w:spacing w:after="0"/>
        <w:tabs>
          <w:tab w:leader="none" w:pos="420" w:val="left"/>
        </w:tabs>
        <w:numPr>
          <w:ilvl w:val="0"/>
          <w:numId w:val="81"/>
        </w:numPr>
        <w:rPr>
          <w:rFonts w:ascii="Arial" w:cs="Arial" w:eastAsia="Arial" w:hAnsi="Arial"/>
          <w:sz w:val="20"/>
          <w:szCs w:val="20"/>
          <w:color w:val="123054"/>
        </w:rPr>
      </w:pPr>
      <w:r>
        <w:rPr>
          <w:rFonts w:ascii="Arial" w:cs="Arial" w:eastAsia="Arial" w:hAnsi="Arial"/>
          <w:sz w:val="20"/>
          <w:szCs w:val="20"/>
          <w:i w:val="1"/>
          <w:iCs w:val="1"/>
          <w:color w:val="123054"/>
        </w:rPr>
        <w:t>All Other Fees</w:t>
      </w:r>
      <w:r>
        <w:rPr>
          <w:rFonts w:ascii="Arial" w:cs="Arial" w:eastAsia="Arial" w:hAnsi="Arial"/>
          <w:sz w:val="20"/>
          <w:szCs w:val="20"/>
          <w:color w:val="000000"/>
        </w:rPr>
        <w:t>for fiscal years2024 and 2023 consisted of software license fees.</w:t>
      </w:r>
    </w:p>
    <w:p>
      <w:pPr>
        <w:sectPr>
          <w:pgSz w:w="11900" w:h="16838" w:orient="portrait"/>
          <w:cols w:equalWidth="0" w:num="1">
            <w:col w:w="9320"/>
          </w:cols>
          <w:pgMar w:left="1440" w:top="1440" w:right="1139" w:bottom="738" w:gutter="0" w:footer="0" w:header="0"/>
          <w:type w:val="continuous"/>
        </w:sectPr>
      </w:pPr>
    </w:p>
    <w:bookmarkStart w:id="67" w:name="page68"/>
    <w:bookmarkEnd w:id="67"/>
    <w:p>
      <w:pPr>
        <w:jc w:val="center"/>
        <w:ind w:right="3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791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979170"/>
                    </a:xfrm>
                    <a:prstGeom prst="rect">
                      <a:avLst/>
                    </a:prstGeom>
                    <a:noFill/>
                  </pic:spPr>
                </pic:pic>
              </a:graphicData>
            </a:graphic>
          </wp:anchor>
        </w:drawing>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180"/>
          </w:cols>
          <w:pgMar w:left="1440" w:top="971" w:right="1279"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00" w:hanging="1298"/>
        <w:spacing w:after="0" w:line="255" w:lineRule="auto"/>
        <w:rPr>
          <w:sz w:val="20"/>
          <w:szCs w:val="20"/>
          <w:color w:val="auto"/>
        </w:rPr>
      </w:pPr>
      <w:r>
        <w:rPr>
          <w:rFonts w:ascii="Arial" w:cs="Arial" w:eastAsia="Arial" w:hAnsi="Arial"/>
          <w:sz w:val="19"/>
          <w:szCs w:val="19"/>
          <w:b w:val="1"/>
          <w:bCs w:val="1"/>
          <w:color w:val="auto"/>
        </w:rPr>
        <w:t>The Board recommends a vote</w:t>
      </w:r>
      <w:r>
        <w:rPr>
          <w:rFonts w:ascii="Arial" w:cs="Arial" w:eastAsia="Arial" w:hAnsi="Arial"/>
          <w:sz w:val="19"/>
          <w:szCs w:val="19"/>
          <w:b w:val="1"/>
          <w:bCs w:val="1"/>
          <w:color w:val="123054"/>
        </w:rPr>
        <w:t>FOR</w:t>
      </w:r>
      <w:r>
        <w:rPr>
          <w:rFonts w:ascii="Arial" w:cs="Arial" w:eastAsia="Arial" w:hAnsi="Arial"/>
          <w:sz w:val="19"/>
          <w:szCs w:val="19"/>
          <w:b w:val="1"/>
          <w:bCs w:val="1"/>
          <w:color w:val="auto"/>
        </w:rPr>
        <w:t>the ratification of the appointment of PricewaterhouseCoopers LLP as the Company’s independent registered public accounting firm</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for fiscal2025.</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123054"/>
        </w:rPr>
        <w:t>VOTE REQUIRED</w:t>
      </w:r>
    </w:p>
    <w:p>
      <w:pPr>
        <w:spacing w:after="0" w:line="170" w:lineRule="exact"/>
        <w:rPr>
          <w:sz w:val="20"/>
          <w:szCs w:val="20"/>
          <w:color w:val="auto"/>
        </w:rPr>
      </w:pPr>
    </w:p>
    <w:p>
      <w:pPr>
        <w:ind w:left="140" w:right="380"/>
        <w:spacing w:after="0" w:line="244" w:lineRule="auto"/>
        <w:rPr>
          <w:sz w:val="20"/>
          <w:szCs w:val="20"/>
          <w:color w:val="auto"/>
        </w:rPr>
      </w:pPr>
      <w:r>
        <w:rPr>
          <w:rFonts w:ascii="Arial" w:cs="Arial" w:eastAsia="Arial" w:hAnsi="Arial"/>
          <w:sz w:val="20"/>
          <w:szCs w:val="20"/>
          <w:color w:val="auto"/>
        </w:rPr>
        <w:t>The approval of Proposal Number Three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ectPr>
          <w:pgSz w:w="11900" w:h="16838" w:orient="portrait"/>
          <w:cols w:equalWidth="0" w:num="1">
            <w:col w:w="9180"/>
          </w:cols>
          <w:pgMar w:left="1440" w:top="971" w:right="1279" w:bottom="10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048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0375" cy="504825"/>
                    </a:xfrm>
                    <a:prstGeom prst="rect">
                      <a:avLst/>
                    </a:prstGeom>
                    <a:noFill/>
                  </pic:spPr>
                </pic:pic>
              </a:graphicData>
            </a:graphic>
          </wp:anchor>
        </w:drawing>
      </w:r>
    </w:p>
    <w:p>
      <w:pPr>
        <w:sectPr>
          <w:pgSz w:w="11900" w:h="16838" w:orient="portrait"/>
          <w:cols w:equalWidth="0" w:num="1">
            <w:col w:w="9180"/>
          </w:cols>
          <w:pgMar w:left="1440" w:top="971" w:right="1279" w:bottom="1013" w:gutter="0" w:footer="0" w:header="0"/>
          <w:type w:val="continuous"/>
        </w:sectPr>
      </w:pPr>
    </w:p>
    <w:bookmarkStart w:id="68" w:name="page69"/>
    <w:bookmarkEnd w:id="68"/>
    <w:p>
      <w:pPr>
        <w:ind w:left="140"/>
        <w:spacing w:after="0"/>
        <w:rPr>
          <w:sz w:val="20"/>
          <w:szCs w:val="20"/>
          <w:color w:val="auto"/>
        </w:rPr>
      </w:pPr>
      <w:r>
        <w:rPr>
          <w:rFonts w:ascii="Arial" w:cs="Arial" w:eastAsia="Arial" w:hAnsi="Arial"/>
          <w:sz w:val="32"/>
          <w:szCs w:val="32"/>
          <w:b w:val="1"/>
          <w:bCs w:val="1"/>
          <w:color w:val="123054"/>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3515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10375" cy="8351520"/>
                    </a:xfrm>
                    <a:prstGeom prst="rect">
                      <a:avLst/>
                    </a:prstGeom>
                    <a:noFill/>
                  </pic:spPr>
                </pic:pic>
              </a:graphicData>
            </a:graphic>
          </wp:anchor>
        </w:drawing>
        <w:t>OTHER MATTERS</w:t>
      </w:r>
    </w:p>
    <w:p>
      <w:pPr>
        <w:spacing w:after="0" w:line="181" w:lineRule="exact"/>
        <w:rPr>
          <w:sz w:val="20"/>
          <w:szCs w:val="20"/>
          <w:color w:val="auto"/>
        </w:rPr>
      </w:pPr>
    </w:p>
    <w:p>
      <w:pPr>
        <w:ind w:left="140"/>
        <w:spacing w:after="0" w:line="244" w:lineRule="auto"/>
        <w:rPr>
          <w:sz w:val="20"/>
          <w:szCs w:val="20"/>
          <w:color w:val="auto"/>
        </w:rPr>
      </w:pPr>
      <w:r>
        <w:rPr>
          <w:rFonts w:ascii="Arial" w:cs="Arial" w:eastAsia="Arial" w:hAnsi="Arial"/>
          <w:sz w:val="20"/>
          <w:szCs w:val="20"/>
          <w:color w:val="auto"/>
        </w:rPr>
        <w:t>As of the date of this proxy statement, we know of no business that will be presented for consideration at the Annual Meeting, other than the items referred to above. If any other matter is properly brought before the Annual Meeting for action by shareholders, proxies in the enclosed form returned to Carter's will be voted in accordance with the recommendation of the Board or, in the absence of such a recommendation, in accordance with the judgment of the proxy holder.</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123054"/>
        </w:rPr>
        <w:t>* * *</w:t>
      </w:r>
    </w:p>
    <w:p>
      <w:pPr>
        <w:spacing w:after="0" w:line="175" w:lineRule="exact"/>
        <w:rPr>
          <w:sz w:val="20"/>
          <w:szCs w:val="20"/>
          <w:color w:val="auto"/>
        </w:rPr>
      </w:pPr>
    </w:p>
    <w:p>
      <w:pPr>
        <w:ind w:left="140" w:right="340"/>
        <w:spacing w:after="0"/>
        <w:rPr>
          <w:sz w:val="20"/>
          <w:szCs w:val="20"/>
          <w:color w:val="auto"/>
        </w:rPr>
      </w:pPr>
      <w:r>
        <w:rPr>
          <w:rFonts w:ascii="Arial" w:cs="Arial" w:eastAsia="Arial" w:hAnsi="Arial"/>
          <w:sz w:val="20"/>
          <w:szCs w:val="20"/>
          <w:color w:val="auto"/>
        </w:rPr>
        <w:t>The following performance graph and return to shareholders information shown below are provided pursuant to Item 201(e) of Regulation S-K promulgated under the Exchange Act. The graph and information are not deemed to be “filed” under the Exchange Act or otherwise subject to liabilities thereunder, nor are they to be deemed to be incorporated by reference in any filing under the Securities Act or Exchange Act unless we specifically incorporate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2082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208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right="300"/>
        <w:spacing w:after="0" w:line="263" w:lineRule="auto"/>
        <w:rPr>
          <w:sz w:val="20"/>
          <w:szCs w:val="20"/>
          <w:color w:val="auto"/>
        </w:rPr>
      </w:pPr>
      <w:r>
        <w:rPr>
          <w:rFonts w:ascii="Arial" w:cs="Arial" w:eastAsia="Arial" w:hAnsi="Arial"/>
          <w:sz w:val="32"/>
          <w:szCs w:val="32"/>
          <w:b w:val="1"/>
          <w:bCs w:val="1"/>
          <w:color w:val="123054"/>
        </w:rPr>
        <w:t>QUESTIONS AND ANSWERS ABOUT THE 2025 ANNUAL MEETING</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 WHY AM I RECEIVING THIS PROXY STATEMENT?</w:t>
      </w:r>
    </w:p>
    <w:p>
      <w:pPr>
        <w:spacing w:after="0" w:line="143" w:lineRule="exact"/>
        <w:rPr>
          <w:sz w:val="20"/>
          <w:szCs w:val="20"/>
          <w:color w:val="auto"/>
        </w:rPr>
      </w:pPr>
    </w:p>
    <w:p>
      <w:pPr>
        <w:ind w:left="140" w:right="100"/>
        <w:spacing w:after="0" w:line="262" w:lineRule="auto"/>
        <w:rPr>
          <w:sz w:val="20"/>
          <w:szCs w:val="20"/>
          <w:color w:val="auto"/>
        </w:rPr>
      </w:pPr>
      <w:r>
        <w:rPr>
          <w:rFonts w:ascii="Arial" w:cs="Arial" w:eastAsia="Arial" w:hAnsi="Arial"/>
          <w:sz w:val="19"/>
          <w:szCs w:val="19"/>
          <w:color w:val="auto"/>
        </w:rPr>
        <w:t>The Board of Directors (the “Board”) of Carter’s, Inc. (“we,” “us,” “our,” “Carter’s,” or the “Company”) is soliciting proxies for our virtual2025 Annual Meeting of Shareholders onMay 15, 2025, at 1:00 p.m. Eastern Time (the “Annual Meeting”). This proxy statement and accompanying proxy card are being mailed on or about April 4, 2025, to shareholders of record asMarchof 20, 2025, the record date (the</w:t>
      </w:r>
    </w:p>
    <w:p>
      <w:pPr>
        <w:sectPr>
          <w:pgSz w:w="11900" w:h="16838" w:orient="portrait"/>
          <w:cols w:equalWidth="0" w:num="1">
            <w:col w:w="9120"/>
          </w:cols>
          <w:pgMar w:left="1440" w:top="258" w:right="1339" w:bottom="0" w:gutter="0" w:footer="0" w:header="0"/>
        </w:sectPr>
      </w:pPr>
    </w:p>
    <w:bookmarkStart w:id="69" w:name="page70"/>
    <w:bookmarkEnd w:id="69"/>
    <w:p>
      <w:pPr>
        <w:ind w:left="140"/>
        <w:spacing w:after="0"/>
        <w:rPr>
          <w:sz w:val="20"/>
          <w:szCs w:val="20"/>
          <w:color w:val="auto"/>
        </w:rPr>
      </w:pPr>
      <w:r>
        <w:rPr>
          <w:rFonts w:ascii="Arial" w:cs="Arial" w:eastAsia="Arial" w:hAnsi="Arial"/>
          <w:sz w:val="20"/>
          <w:szCs w:val="20"/>
          <w:color w:val="auto"/>
        </w:rPr>
        <w:t>“Record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-122555</wp:posOffset>
            </wp:positionV>
            <wp:extent cx="6810375" cy="6774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10375" cy="6774180"/>
                    </a:xfrm>
                    <a:prstGeom prst="rect">
                      <a:avLst/>
                    </a:prstGeom>
                    <a:noFill/>
                  </pic:spPr>
                </pic:pic>
              </a:graphicData>
            </a:graphic>
          </wp:anchor>
        </w:drawing>
      </w:r>
    </w:p>
    <w:p>
      <w:pPr>
        <w:spacing w:after="0" w:line="75" w:lineRule="exact"/>
        <w:rPr>
          <w:sz w:val="20"/>
          <w:szCs w:val="20"/>
          <w:color w:val="auto"/>
        </w:rPr>
      </w:pPr>
    </w:p>
    <w:p>
      <w:pPr>
        <w:ind w:left="140" w:right="180"/>
        <w:spacing w:after="0" w:line="262" w:lineRule="auto"/>
        <w:rPr>
          <w:sz w:val="20"/>
          <w:szCs w:val="20"/>
          <w:color w:val="auto"/>
        </w:rPr>
      </w:pPr>
      <w:r>
        <w:rPr>
          <w:rFonts w:ascii="Arial" w:cs="Arial" w:eastAsia="Arial" w:hAnsi="Arial"/>
          <w:sz w:val="19"/>
          <w:szCs w:val="19"/>
          <w:color w:val="auto"/>
        </w:rPr>
        <w:t>You are receiving this proxy statement because you owned shares of Carter’s common stock on the Record Date and are therefore entitled to vote at the Annual Meeting. By use of a proxy, you can vote regardless of whether or not you attend the Annual Meeting. This proxy statement provides information on the matters on which the Board would like you to vote so that you can make an informed decision.</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2. WHAT IS THE PURPOSE OF THE ANNUAL MEETING?</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purpose of the Annual Meeting is to address the following business matters:</w:t>
      </w:r>
    </w:p>
    <w:p>
      <w:pPr>
        <w:spacing w:after="0" w:line="67" w:lineRule="exact"/>
        <w:rPr>
          <w:sz w:val="20"/>
          <w:szCs w:val="20"/>
          <w:color w:val="auto"/>
        </w:rPr>
      </w:pPr>
    </w:p>
    <w:p>
      <w:pPr>
        <w:ind w:left="620" w:hanging="387"/>
        <w:spacing w:after="0"/>
        <w:tabs>
          <w:tab w:leader="none" w:pos="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Election of the 11 nominated directors (see page26);</w:t>
      </w:r>
    </w:p>
    <w:p>
      <w:pPr>
        <w:spacing w:after="0" w:line="80" w:lineRule="exact"/>
        <w:rPr>
          <w:rFonts w:ascii="Arial" w:cs="Arial" w:eastAsia="Arial" w:hAnsi="Arial"/>
          <w:sz w:val="20"/>
          <w:szCs w:val="20"/>
          <w:color w:val="auto"/>
        </w:rPr>
      </w:pPr>
    </w:p>
    <w:p>
      <w:pPr>
        <w:ind w:left="620" w:right="300" w:hanging="387"/>
        <w:spacing w:after="0" w:line="243" w:lineRule="auto"/>
        <w:tabs>
          <w:tab w:leader="none" w:pos="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Advisory approval of the compensation for our named executive officers2024for (“NEOs”) (the “say-on-pay” vote) (see page73);</w:t>
      </w:r>
    </w:p>
    <w:p>
      <w:pPr>
        <w:spacing w:after="0" w:line="33" w:lineRule="exact"/>
        <w:rPr>
          <w:rFonts w:ascii="Arial" w:cs="Arial" w:eastAsia="Arial" w:hAnsi="Arial"/>
          <w:sz w:val="20"/>
          <w:szCs w:val="20"/>
          <w:color w:val="auto"/>
        </w:rPr>
      </w:pPr>
    </w:p>
    <w:p>
      <w:pPr>
        <w:ind w:left="620" w:right="1340" w:hanging="387"/>
        <w:spacing w:after="0" w:line="298" w:lineRule="auto"/>
        <w:tabs>
          <w:tab w:leader="none" w:pos="6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Ratification of the appointment of PricewaterhouseCoopers LLP (“PwC”) as Carter’s independent registered public accounting firm for fiscal2025 (see page75); and</w:t>
      </w:r>
    </w:p>
    <w:p>
      <w:pPr>
        <w:spacing w:after="0" w:line="24" w:lineRule="exact"/>
        <w:rPr>
          <w:rFonts w:ascii="Arial" w:cs="Arial" w:eastAsia="Arial" w:hAnsi="Arial"/>
          <w:sz w:val="19"/>
          <w:szCs w:val="19"/>
          <w:color w:val="auto"/>
        </w:rPr>
      </w:pPr>
    </w:p>
    <w:p>
      <w:pPr>
        <w:ind w:left="620" w:hanging="387"/>
        <w:spacing w:after="0"/>
        <w:tabs>
          <w:tab w:leader="none" w:pos="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All other business that may properly come before the meeting.</w:t>
      </w:r>
    </w:p>
    <w:p>
      <w:pPr>
        <w:spacing w:after="0" w:line="210" w:lineRule="exact"/>
        <w:rPr>
          <w:rFonts w:ascii="Arial" w:cs="Arial" w:eastAsia="Arial" w:hAnsi="Arial"/>
          <w:sz w:val="20"/>
          <w:szCs w:val="20"/>
          <w:color w:val="auto"/>
        </w:rPr>
      </w:pPr>
    </w:p>
    <w:p>
      <w:pPr>
        <w:ind w:left="380" w:hanging="250"/>
        <w:spacing w:after="0"/>
        <w:tabs>
          <w:tab w:leader="none" w:pos="3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WHO IS ASKING FOR MY VOTE?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Carter's is soliciting your proxy on behalf of the Board and is paying for the costs of this solicitation and</w:t>
      </w:r>
    </w:p>
    <w:p>
      <w:pPr>
        <w:ind w:left="140" w:right="100"/>
        <w:spacing w:after="0" w:line="215" w:lineRule="auto"/>
        <w:rPr>
          <w:sz w:val="20"/>
          <w:szCs w:val="20"/>
          <w:color w:val="auto"/>
        </w:rPr>
      </w:pPr>
      <w:r>
        <w:rPr>
          <w:rFonts w:ascii="Arial" w:cs="Arial" w:eastAsia="Arial" w:hAnsi="Arial"/>
          <w:sz w:val="19"/>
          <w:szCs w:val="19"/>
          <w:color w:val="auto"/>
        </w:rPr>
        <w:t>proxy statement. Okapi Partners LLC has been retained by the Company to assist in the solicitation of proxies for a base fee not to exceed $12,500, (with select additional campaign services to be provided if</w:t>
      </w:r>
    </w:p>
    <w:p>
      <w:pPr>
        <w:ind w:left="140" w:right="540"/>
        <w:spacing w:after="0" w:line="232" w:lineRule="auto"/>
        <w:rPr>
          <w:sz w:val="20"/>
          <w:szCs w:val="20"/>
          <w:color w:val="auto"/>
        </w:rPr>
      </w:pPr>
      <w:r>
        <w:rPr>
          <w:rFonts w:ascii="Arial" w:cs="Arial" w:eastAsia="Arial" w:hAnsi="Arial"/>
          <w:sz w:val="20"/>
          <w:szCs w:val="20"/>
          <w:color w:val="auto"/>
        </w:rPr>
        <w:t>requested at an additional fee), plus reimbursement for out-of-pocket expenses, to be borne by the Company.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4. WHO CAN ATTEND THE ANNUAL MEETING?</w:t>
      </w:r>
    </w:p>
    <w:p>
      <w:pPr>
        <w:spacing w:after="0" w:line="143" w:lineRule="exact"/>
        <w:rPr>
          <w:sz w:val="20"/>
          <w:szCs w:val="20"/>
          <w:color w:val="auto"/>
        </w:rPr>
      </w:pPr>
    </w:p>
    <w:p>
      <w:pPr>
        <w:ind w:left="140" w:right="120"/>
        <w:spacing w:after="0" w:line="244" w:lineRule="auto"/>
        <w:rPr>
          <w:sz w:val="20"/>
          <w:szCs w:val="20"/>
          <w:color w:val="auto"/>
        </w:rPr>
      </w:pPr>
      <w:r>
        <w:rPr>
          <w:rFonts w:ascii="Arial" w:cs="Arial" w:eastAsia="Arial" w:hAnsi="Arial"/>
          <w:sz w:val="20"/>
          <w:szCs w:val="20"/>
          <w:color w:val="auto"/>
        </w:rPr>
        <w:t>All shareholders of record, or their duly appointed proxies, may attend the virtual Annual Meeting. Beneficial holders who hold shares “in street name” may also be admitted to the virtual Annual Meeting, provided they obtain the appropriate control number from their broker or other nominee in order to access the virtual meeting. As of the Record Date, there were36,237,114shares of common stock issued and outstanding.</w:t>
      </w:r>
    </w:p>
    <w:p>
      <w:pPr>
        <w:spacing w:after="0" w:line="167" w:lineRule="exact"/>
        <w:rPr>
          <w:sz w:val="20"/>
          <w:szCs w:val="20"/>
          <w:color w:val="auto"/>
        </w:rPr>
      </w:pPr>
    </w:p>
    <w:p>
      <w:pPr>
        <w:jc w:val="both"/>
        <w:ind w:left="140" w:right="140"/>
        <w:spacing w:after="0" w:line="268" w:lineRule="auto"/>
        <w:rPr>
          <w:sz w:val="20"/>
          <w:szCs w:val="20"/>
          <w:color w:val="auto"/>
        </w:rPr>
      </w:pPr>
      <w:r>
        <w:rPr>
          <w:rFonts w:ascii="Arial" w:cs="Arial" w:eastAsia="Arial" w:hAnsi="Arial"/>
          <w:sz w:val="19"/>
          <w:szCs w:val="19"/>
          <w:color w:val="auto"/>
        </w:rPr>
        <w:t>In order to attend the Annual Meeting, you must register at www.proxydocs.com/CRI. Upon completing your registration, you will receive further instructions via email, including a unique link that will allow you access to the Annual Meeting and the ability to vote and submit questions during the Annual Meeting.</w:t>
      </w:r>
    </w:p>
    <w:p>
      <w:pPr>
        <w:spacing w:after="0" w:line="146" w:lineRule="exact"/>
        <w:rPr>
          <w:sz w:val="20"/>
          <w:szCs w:val="20"/>
          <w:color w:val="auto"/>
        </w:rPr>
      </w:pPr>
    </w:p>
    <w:p>
      <w:pPr>
        <w:ind w:left="140"/>
        <w:spacing w:after="0" w:line="245" w:lineRule="auto"/>
        <w:rPr>
          <w:sz w:val="20"/>
          <w:szCs w:val="20"/>
          <w:color w:val="auto"/>
        </w:rPr>
      </w:pPr>
      <w:r>
        <w:rPr>
          <w:rFonts w:ascii="Arial" w:cs="Arial" w:eastAsia="Arial" w:hAnsi="Arial"/>
          <w:sz w:val="20"/>
          <w:szCs w:val="20"/>
          <w:color w:val="auto"/>
        </w:rPr>
        <w:t>As part of the registration process, you must enter the control number located on your proxy card or voting instruction form.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68" w:lineRule="exact"/>
        <w:rPr>
          <w:sz w:val="20"/>
          <w:szCs w:val="20"/>
          <w:color w:val="auto"/>
        </w:rPr>
      </w:pPr>
    </w:p>
    <w:p>
      <w:pPr>
        <w:ind w:left="140" w:right="560"/>
        <w:spacing w:after="0" w:line="298" w:lineRule="auto"/>
        <w:rPr>
          <w:sz w:val="20"/>
          <w:szCs w:val="20"/>
          <w:color w:val="auto"/>
        </w:rPr>
      </w:pPr>
      <w:r>
        <w:rPr>
          <w:rFonts w:ascii="Arial" w:cs="Arial" w:eastAsia="Arial" w:hAnsi="Arial"/>
          <w:sz w:val="19"/>
          <w:szCs w:val="19"/>
          <w:color w:val="auto"/>
        </w:rPr>
        <w:t>On the day of the Annual Meeting,May 15, 2025, shareholders may begin to login to the virtual Annual Meeting fifteen minutes prior to the meeting, which will begin promptly at 1:00 p.m. Eastern Time.</w:t>
      </w: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36595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0375" cy="365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5. HOW WILL THE VIRTUAL MEETING WORK?</w:t>
      </w:r>
    </w:p>
    <w:p>
      <w:pPr>
        <w:spacing w:after="0" w:line="143" w:lineRule="exact"/>
        <w:rPr>
          <w:sz w:val="20"/>
          <w:szCs w:val="20"/>
          <w:color w:val="auto"/>
        </w:rPr>
      </w:pPr>
    </w:p>
    <w:p>
      <w:pPr>
        <w:ind w:left="140" w:right="340"/>
        <w:spacing w:after="0" w:line="271" w:lineRule="auto"/>
        <w:rPr>
          <w:sz w:val="20"/>
          <w:szCs w:val="20"/>
          <w:color w:val="auto"/>
        </w:rPr>
      </w:pPr>
      <w:r>
        <w:rPr>
          <w:rFonts w:ascii="Arial" w:cs="Arial" w:eastAsia="Arial" w:hAnsi="Arial"/>
          <w:sz w:val="20"/>
          <w:szCs w:val="20"/>
          <w:color w:val="auto"/>
        </w:rPr>
        <w:t>We have designed the format of the Annual Meeting to provide our shareholders with the same rights and opportunities to participate as they would have at an in-person meeting.</w:t>
      </w:r>
    </w:p>
    <w:p>
      <w:pPr>
        <w:spacing w:after="0" w:line="142" w:lineRule="exact"/>
        <w:rPr>
          <w:sz w:val="20"/>
          <w:szCs w:val="20"/>
          <w:color w:val="auto"/>
        </w:rPr>
      </w:pPr>
    </w:p>
    <w:p>
      <w:pPr>
        <w:ind w:left="140" w:right="40"/>
        <w:spacing w:after="0" w:line="238" w:lineRule="auto"/>
        <w:rPr>
          <w:sz w:val="20"/>
          <w:szCs w:val="20"/>
          <w:color w:val="auto"/>
        </w:rPr>
      </w:pPr>
      <w:r>
        <w:rPr>
          <w:rFonts w:ascii="Arial" w:cs="Arial" w:eastAsia="Arial" w:hAnsi="Arial"/>
          <w:sz w:val="20"/>
          <w:szCs w:val="20"/>
          <w:color w:val="auto"/>
        </w:rPr>
        <w:t>During the Annual Meeting, we will hold a question and answer session during which we intend to answer questions submitted during the meeting that are pertinent to Carter's, as time permits, and in accordance with our Rules and Procedures for Conduct of the Annual Meeting. On the day of and during the Annual Meeting, you can view our Rules and Procedures for Conduct of the Annual Meeting and submit any questions on the virtual meeting platform by using your unique link included in the email that you will receive one hour prior to the start of the Annual Meeting. Answers to any questions not addressed during the meeting will be posted following the meeting on the Investor Relations page of our website at ir.carters.com. Questions and answers will be grouped by topic, and substantially similar questions will be answered only once. To promote fairness, efficiently use Carter’s resources, and ensure all shareholder questions are able to be addressed, we will respond to no more than three questions from any single shareholder.</w:t>
      </w:r>
    </w:p>
    <w:p>
      <w:pPr>
        <w:spacing w:after="0" w:line="178" w:lineRule="exact"/>
        <w:rPr>
          <w:sz w:val="20"/>
          <w:szCs w:val="20"/>
          <w:color w:val="auto"/>
        </w:rPr>
      </w:pPr>
    </w:p>
    <w:p>
      <w:pPr>
        <w:ind w:left="140" w:right="220"/>
        <w:spacing w:after="0" w:line="245" w:lineRule="auto"/>
        <w:rPr>
          <w:sz w:val="20"/>
          <w:szCs w:val="20"/>
          <w:color w:val="auto"/>
        </w:rPr>
      </w:pPr>
      <w:r>
        <w:rPr>
          <w:rFonts w:ascii="Arial" w:cs="Arial" w:eastAsia="Arial" w:hAnsi="Arial"/>
          <w:sz w:val="20"/>
          <w:szCs w:val="20"/>
          <w:color w:val="auto"/>
        </w:rPr>
        <w:t>Prior to and during the Annual Meeting, we will have support available to assist shareholders with any technical difficulties they may have accessing or hearing the virtual meeting. The technical support telephone number will be included in the access email you will receive one hour prior to the start of the Annual Meeting.</w:t>
      </w:r>
    </w:p>
    <w:p>
      <w:pPr>
        <w:sectPr>
          <w:pgSz w:w="11900" w:h="16838" w:orient="portrait"/>
          <w:cols w:equalWidth="0" w:num="1">
            <w:col w:w="9300"/>
          </w:cols>
          <w:pgMar w:left="1440" w:top="104" w:right="1159" w:bottom="0" w:gutter="0" w:footer="0" w:header="0"/>
        </w:sectPr>
      </w:pPr>
    </w:p>
    <w:bookmarkStart w:id="70" w:name="page71"/>
    <w:bookmarkEnd w:id="70"/>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196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51968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color w:val="auto"/>
        </w:rPr>
        <w:t>6. WHAT ARE MY VOTING RIGHTS?</w:t>
      </w:r>
    </w:p>
    <w:p>
      <w:pPr>
        <w:spacing w:after="0" w:line="143" w:lineRule="exact"/>
        <w:rPr>
          <w:sz w:val="20"/>
          <w:szCs w:val="20"/>
          <w:color w:val="auto"/>
        </w:rPr>
      </w:pPr>
    </w:p>
    <w:p>
      <w:pPr>
        <w:ind w:left="140" w:right="1000"/>
        <w:spacing w:after="0" w:line="234" w:lineRule="auto"/>
        <w:rPr>
          <w:sz w:val="20"/>
          <w:szCs w:val="20"/>
          <w:color w:val="auto"/>
        </w:rPr>
      </w:pPr>
      <w:r>
        <w:rPr>
          <w:rFonts w:ascii="Arial" w:cs="Arial" w:eastAsia="Arial" w:hAnsi="Arial"/>
          <w:sz w:val="20"/>
          <w:szCs w:val="20"/>
          <w:color w:val="auto"/>
        </w:rPr>
        <w:t>Each share of common stock is entitled to one vote on each matter submitted to shareholders at the Annual Meeting.</w:t>
      </w:r>
    </w:p>
    <w:p>
      <w:pPr>
        <w:spacing w:after="0" w:line="200" w:lineRule="exact"/>
        <w:rPr>
          <w:sz w:val="20"/>
          <w:szCs w:val="20"/>
          <w:color w:val="auto"/>
        </w:rPr>
      </w:pPr>
    </w:p>
    <w:p>
      <w:pPr>
        <w:ind w:left="140" w:hanging="10"/>
        <w:spacing w:after="0" w:line="234" w:lineRule="auto"/>
        <w:tabs>
          <w:tab w:leader="none" w:pos="3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WHAT IS THE DIFFERENCE BETWEEN HOLDING SHARES AS A SHAREHOLDER OF RECORD AND AS BENEFICIAL OWNER “IN STREET NAME”?</w:t>
      </w:r>
    </w:p>
    <w:p>
      <w:pPr>
        <w:spacing w:after="0" w:line="119" w:lineRule="exact"/>
        <w:rPr>
          <w:sz w:val="20"/>
          <w:szCs w:val="20"/>
          <w:color w:val="auto"/>
        </w:rPr>
      </w:pPr>
    </w:p>
    <w:p>
      <w:pPr>
        <w:ind w:left="140" w:right="660"/>
        <w:spacing w:after="0" w:line="245" w:lineRule="auto"/>
        <w:rPr>
          <w:sz w:val="20"/>
          <w:szCs w:val="20"/>
          <w:color w:val="auto"/>
        </w:rPr>
      </w:pPr>
      <w:r>
        <w:rPr>
          <w:rFonts w:ascii="Arial" w:cs="Arial" w:eastAsia="Arial" w:hAnsi="Arial"/>
          <w:sz w:val="20"/>
          <w:szCs w:val="20"/>
          <w:color w:val="auto"/>
        </w:rPr>
        <w:t>If your shares are registered directly in your name with the Company’s transfer agent, Equiniti Trust Company, you are considered the shareholder of record for these shares. As the shareholder of record, you have the right to grant your voting proxy directly to the person(s) listed on your proxy card or vote in person (virtually) at the Annual Meeting.</w:t>
      </w:r>
    </w:p>
    <w:p>
      <w:pPr>
        <w:spacing w:after="0" w:line="168" w:lineRule="exact"/>
        <w:rPr>
          <w:sz w:val="20"/>
          <w:szCs w:val="20"/>
          <w:color w:val="auto"/>
        </w:rPr>
      </w:pPr>
    </w:p>
    <w:p>
      <w:pPr>
        <w:ind w:left="140" w:right="700"/>
        <w:spacing w:after="0" w:line="253" w:lineRule="auto"/>
        <w:rPr>
          <w:sz w:val="20"/>
          <w:szCs w:val="20"/>
          <w:color w:val="auto"/>
        </w:rPr>
      </w:pPr>
      <w:r>
        <w:rPr>
          <w:rFonts w:ascii="Arial" w:cs="Arial" w:eastAsia="Arial" w:hAnsi="Arial"/>
          <w:sz w:val="19"/>
          <w:szCs w:val="19"/>
          <w:color w:val="auto"/>
        </w:rPr>
        <w:t>If your shares are held in a brokerage account or through another nominee, such as a trustee, you are considered the beneficial owner of shares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shareholder of record, you may not vote your shares in</w:t>
      </w:r>
    </w:p>
    <w:p>
      <w:pPr>
        <w:ind w:left="140"/>
        <w:spacing w:after="0" w:line="225" w:lineRule="auto"/>
        <w:rPr>
          <w:sz w:val="20"/>
          <w:szCs w:val="20"/>
          <w:color w:val="auto"/>
        </w:rPr>
      </w:pPr>
      <w:r>
        <w:rPr>
          <w:rFonts w:ascii="Arial" w:cs="Arial" w:eastAsia="Arial" w:hAnsi="Arial"/>
          <w:sz w:val="20"/>
          <w:szCs w:val="20"/>
          <w:color w:val="auto"/>
        </w:rPr>
        <w:t>person (virtually) at the Annual Meetin</w:t>
      </w:r>
      <w:r>
        <w:rPr>
          <w:rFonts w:ascii="Arial" w:cs="Arial" w:eastAsia="Arial" w:hAnsi="Arial"/>
          <w:sz w:val="20"/>
          <w:szCs w:val="20"/>
          <w:u w:val="single" w:color="auto"/>
          <w:color w:val="auto"/>
        </w:rPr>
        <w:t>unlessg</w:t>
      </w:r>
      <w:r>
        <w:rPr>
          <w:rFonts w:ascii="Arial" w:cs="Arial" w:eastAsia="Arial" w:hAnsi="Arial"/>
          <w:sz w:val="20"/>
          <w:szCs w:val="20"/>
          <w:color w:val="auto"/>
        </w:rPr>
        <w:t xml:space="preserve"> you obtain a proxy from the broker or other nominee</w:t>
      </w:r>
    </w:p>
    <w:p>
      <w:pPr>
        <w:spacing w:after="0" w:line="1" w:lineRule="exact"/>
        <w:rPr>
          <w:sz w:val="20"/>
          <w:szCs w:val="20"/>
          <w:color w:val="auto"/>
        </w:rPr>
      </w:pPr>
    </w:p>
    <w:p>
      <w:pPr>
        <w:ind w:left="140" w:right="700"/>
        <w:spacing w:after="0" w:line="253" w:lineRule="auto"/>
        <w:rPr>
          <w:sz w:val="20"/>
          <w:szCs w:val="20"/>
          <w:color w:val="auto"/>
        </w:rPr>
      </w:pPr>
      <w:r>
        <w:rPr>
          <w:rFonts w:ascii="Arial" w:cs="Arial" w:eastAsia="Arial" w:hAnsi="Arial"/>
          <w:sz w:val="20"/>
          <w:szCs w:val="20"/>
          <w:color w:val="auto"/>
        </w:rPr>
        <w:t>that holds your shares. Your broker or other nominee should have provided directions for you to instruct the broker or nominee on how to vote your shares.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8. WHAT IS A BROKER NON-VOTE?</w:t>
      </w:r>
    </w:p>
    <w:p>
      <w:pPr>
        <w:spacing w:after="0" w:line="143" w:lineRule="exact"/>
        <w:rPr>
          <w:sz w:val="20"/>
          <w:szCs w:val="20"/>
          <w:color w:val="auto"/>
        </w:rPr>
      </w:pPr>
    </w:p>
    <w:p>
      <w:pPr>
        <w:ind w:left="140" w:right="900"/>
        <w:spacing w:after="0" w:line="243" w:lineRule="auto"/>
        <w:rPr>
          <w:sz w:val="20"/>
          <w:szCs w:val="20"/>
          <w:color w:val="auto"/>
        </w:rPr>
      </w:pPr>
      <w:r>
        <w:rPr>
          <w:rFonts w:ascii="Arial" w:cs="Arial" w:eastAsia="Arial" w:hAnsi="Arial"/>
          <w:sz w:val="20"/>
          <w:szCs w:val="20"/>
          <w:color w:val="auto"/>
        </w:rPr>
        <w:t>If you are a beneficial owner whose shares are held “in street name” and you do not provide voting instructions to your broker, your shares will not be voted on any proposal as to which the broker does not have discretionary authority to vote. This is called a “broker non-vote.” Your broker</w:t>
      </w:r>
      <w:r>
        <w:rPr>
          <w:rFonts w:ascii="Arial" w:cs="Arial" w:eastAsia="Arial" w:hAnsi="Arial"/>
          <w:sz w:val="20"/>
          <w:szCs w:val="20"/>
          <w:b w:val="1"/>
          <w:bCs w:val="1"/>
          <w:color w:val="auto"/>
        </w:rPr>
        <w:t>only</w:t>
      </w:r>
      <w:r>
        <w:rPr>
          <w:rFonts w:ascii="Arial" w:cs="Arial" w:eastAsia="Arial" w:hAnsi="Arial"/>
          <w:sz w:val="20"/>
          <w:szCs w:val="20"/>
          <w:color w:val="auto"/>
        </w:rPr>
        <w:t xml:space="preserve"> has discretionary authority to vote on Proposal Number Three. Therefore, your broker will not have discretion to vote on any other propos</w:t>
      </w:r>
      <w:r>
        <w:rPr>
          <w:rFonts w:ascii="Arial" w:cs="Arial" w:eastAsia="Arial" w:hAnsi="Arial"/>
          <w:sz w:val="20"/>
          <w:szCs w:val="20"/>
          <w:u w:val="single" w:color="auto"/>
          <w:color w:val="auto"/>
        </w:rPr>
        <w:t>alunless</w:t>
      </w:r>
      <w:r>
        <w:rPr>
          <w:rFonts w:ascii="Arial" w:cs="Arial" w:eastAsia="Arial" w:hAnsi="Arial"/>
          <w:sz w:val="20"/>
          <w:szCs w:val="20"/>
          <w:color w:val="auto"/>
        </w:rPr>
        <w:t xml:space="preserve"> you specifically instruct your broker how to vote your shares by returning your completed and signed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5236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0375" cy="523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9. WHAT CONSTITUTES A QUORUM?</w:t>
      </w:r>
    </w:p>
    <w:p>
      <w:pPr>
        <w:spacing w:after="0" w:line="76" w:lineRule="exact"/>
        <w:rPr>
          <w:sz w:val="20"/>
          <w:szCs w:val="20"/>
          <w:color w:val="auto"/>
        </w:rPr>
      </w:pPr>
    </w:p>
    <w:p>
      <w:pPr>
        <w:ind w:left="140" w:right="820"/>
        <w:spacing w:after="0"/>
        <w:rPr>
          <w:sz w:val="20"/>
          <w:szCs w:val="20"/>
          <w:color w:val="auto"/>
        </w:rPr>
      </w:pPr>
      <w:r>
        <w:rPr>
          <w:rFonts w:ascii="Arial" w:cs="Arial" w:eastAsia="Arial" w:hAnsi="Arial"/>
          <w:sz w:val="20"/>
          <w:szCs w:val="20"/>
          <w:color w:val="auto"/>
        </w:rPr>
        <w:t>A quorum is the minimum number of shares required to be present to transact business at the Annual Meeting. Pursuant to Carter’s Bylaws, the presence at the Annual Meeting, in person (not available at this virtual Annual Meeting), by proxy, or by remote communication of the holders of at least a majority of the shares issued and outstanding and entitled to vote at the Annual Meeting will constitute a quorum. Broker non-votes and abstentions will be counted as shares that are present at the meeting for purposes of determining a quorum. If a quorum is not present, the meeting will be adjourned until a quorum is obtained.</w:t>
      </w:r>
    </w:p>
    <w:p>
      <w:pPr>
        <w:spacing w:after="0" w:line="127" w:lineRule="exact"/>
        <w:rPr>
          <w:sz w:val="20"/>
          <w:szCs w:val="20"/>
          <w:color w:val="auto"/>
        </w:rPr>
      </w:pPr>
    </w:p>
    <w:p>
      <w:pPr>
        <w:ind w:left="140" w:hanging="10"/>
        <w:spacing w:after="0" w:line="226" w:lineRule="auto"/>
        <w:tabs>
          <w:tab w:leader="none" w:pos="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WHAT ARE MY CHOICES WHEN CASTING A VOTE WITH RESPECT TO THE ELECTION OF T ELEVEN NOMINATED DIRECTORS, AND WHAT VOTE IS NEEDED TO ELECT THE DIRECTOR NOMINEES?</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voting on the election of the director nominees (“Proposal Number One”), shareholders may:</w:t>
      </w:r>
    </w:p>
    <w:p>
      <w:pPr>
        <w:spacing w:after="0" w:line="81" w:lineRule="exact"/>
        <w:rPr>
          <w:sz w:val="20"/>
          <w:szCs w:val="20"/>
          <w:color w:val="auto"/>
        </w:rPr>
      </w:pPr>
    </w:p>
    <w:p>
      <w:pPr>
        <w:ind w:left="620" w:hanging="387"/>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vote for any of the nominees;</w:t>
      </w:r>
    </w:p>
    <w:p>
      <w:pPr>
        <w:spacing w:after="0" w:line="67" w:lineRule="exact"/>
        <w:rPr>
          <w:rFonts w:ascii="Arial" w:cs="Arial" w:eastAsia="Arial" w:hAnsi="Arial"/>
          <w:sz w:val="20"/>
          <w:szCs w:val="20"/>
          <w:color w:val="auto"/>
        </w:rPr>
      </w:pPr>
    </w:p>
    <w:p>
      <w:pPr>
        <w:ind w:left="620" w:hanging="387"/>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vote against any of the nominees; or</w:t>
      </w:r>
    </w:p>
    <w:p>
      <w:pPr>
        <w:spacing w:after="0" w:line="80" w:lineRule="exact"/>
        <w:rPr>
          <w:rFonts w:ascii="Arial" w:cs="Arial" w:eastAsia="Arial" w:hAnsi="Arial"/>
          <w:sz w:val="20"/>
          <w:szCs w:val="20"/>
          <w:color w:val="auto"/>
        </w:rPr>
      </w:pPr>
    </w:p>
    <w:p>
      <w:pPr>
        <w:ind w:left="620" w:hanging="387"/>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abstain from voting on any of the nominees.</w:t>
      </w:r>
    </w:p>
    <w:p>
      <w:pPr>
        <w:spacing w:after="0" w:line="175" w:lineRule="exact"/>
        <w:rPr>
          <w:sz w:val="20"/>
          <w:szCs w:val="20"/>
          <w:color w:val="auto"/>
        </w:rPr>
      </w:pPr>
    </w:p>
    <w:p>
      <w:pPr>
        <w:ind w:left="140" w:right="740"/>
        <w:spacing w:after="0"/>
        <w:rPr>
          <w:sz w:val="20"/>
          <w:szCs w:val="20"/>
          <w:color w:val="auto"/>
        </w:rPr>
      </w:pPr>
      <w:r>
        <w:rPr>
          <w:rFonts w:ascii="Arial" w:cs="Arial" w:eastAsia="Arial" w:hAnsi="Arial"/>
          <w:sz w:val="20"/>
          <w:szCs w:val="20"/>
          <w:color w:val="auto"/>
        </w:rPr>
        <w:t>Pursuant to our Bylaws, a nominee will be elected if the number of votes properly cast “for” such director nominee exceed the number of votes cast “against” that nominee. Any nominee not receiving such majority, who is then serving as a director, must tender his or her resignation for consideration by the Board. Any nominee appointed to the Board, subject to shareholder approval, will not have been elected as a director at the Annual Meeting. Abstentions and broker non-votes will not have any impact on the outcome of this vote.</w:t>
      </w:r>
    </w:p>
    <w:p>
      <w:pPr>
        <w:spacing w:after="0" w:line="208" w:lineRule="exact"/>
        <w:rPr>
          <w:sz w:val="20"/>
          <w:szCs w:val="20"/>
          <w:color w:val="auto"/>
        </w:rPr>
      </w:pPr>
    </w:p>
    <w:p>
      <w:pPr>
        <w:ind w:left="140" w:right="40" w:hanging="10"/>
        <w:spacing w:after="0" w:line="226" w:lineRule="auto"/>
        <w:tabs>
          <w:tab w:leader="none" w:pos="484" w:val="left"/>
        </w:tabs>
        <w:numPr>
          <w:ilvl w:val="0"/>
          <w:numId w:val="87"/>
        </w:numPr>
        <w:rPr>
          <w:rFonts w:ascii="Arial" w:cs="Arial" w:eastAsia="Arial" w:hAnsi="Arial"/>
          <w:sz w:val="22"/>
          <w:szCs w:val="22"/>
          <w:color w:val="auto"/>
        </w:rPr>
      </w:pPr>
      <w:r>
        <w:rPr>
          <w:rFonts w:ascii="Arial" w:cs="Arial" w:eastAsia="Arial" w:hAnsi="Arial"/>
          <w:sz w:val="22"/>
          <w:szCs w:val="22"/>
          <w:color w:val="auto"/>
        </w:rPr>
        <w:t>WHAT ARE MY CHOICES WHEN CASTING AN ADVISORY VOTE ON APPROVAL OF COMPENSATION OF CARTER’S NEOS, COMMONLY REFERRED TO AS THE “SAY-ON-PAY” VOT AND WHAT VOTE IS NEEDED TO APPROVE THIS PROPOSAL?</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voting on the compensation of Carter’s NEOs (“Proposal Number Two”), shareholders may:</w:t>
      </w:r>
    </w:p>
    <w:p>
      <w:pPr>
        <w:spacing w:after="0" w:line="67" w:lineRule="exact"/>
        <w:rPr>
          <w:sz w:val="20"/>
          <w:szCs w:val="20"/>
          <w:color w:val="auto"/>
        </w:rPr>
      </w:pPr>
    </w:p>
    <w:p>
      <w:pPr>
        <w:ind w:left="620" w:right="660" w:hanging="387"/>
        <w:spacing w:after="0" w:line="243" w:lineRule="auto"/>
        <w:tabs>
          <w:tab w:leader="none" w:pos="6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vote for the approval of compensation of Carter’s NEOs, on an advisory basis, as described in this proxy statement;</w:t>
      </w:r>
    </w:p>
    <w:p>
      <w:pPr>
        <w:sectPr>
          <w:pgSz w:w="11900" w:h="16849" w:orient="portrait"/>
          <w:cols w:equalWidth="0" w:num="1">
            <w:col w:w="9860"/>
          </w:cols>
          <w:pgMar w:left="1440" w:top="167" w:right="599" w:bottom="0" w:gutter="0" w:footer="0" w:header="0"/>
        </w:sectPr>
      </w:pPr>
    </w:p>
    <w:bookmarkStart w:id="71" w:name="page72"/>
    <w:bookmarkEnd w:id="71"/>
    <w:p>
      <w:pPr>
        <w:ind w:left="620" w:right="620" w:hanging="387"/>
        <w:spacing w:after="0" w:line="235" w:lineRule="auto"/>
        <w:tabs>
          <w:tab w:leader="none" w:pos="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vote against the approval of compensation of Carter’s NEOs, on an advisory basis, as described in this proxy statement; or</w:t>
      </w:r>
    </w:p>
    <w:p>
      <w:pPr>
        <w:spacing w:after="0" w:line="49" w:lineRule="exact"/>
        <w:rPr>
          <w:rFonts w:ascii="Arial" w:cs="Arial" w:eastAsia="Arial" w:hAnsi="Arial"/>
          <w:sz w:val="20"/>
          <w:szCs w:val="20"/>
          <w:color w:val="auto"/>
        </w:rPr>
      </w:pPr>
    </w:p>
    <w:p>
      <w:pPr>
        <w:ind w:left="620" w:right="740" w:hanging="387"/>
        <w:spacing w:after="0" w:line="234" w:lineRule="auto"/>
        <w:tabs>
          <w:tab w:leader="none" w:pos="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abstain from voting on compensation of Carter’s NEOs, on an advisory basis,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-587375</wp:posOffset>
            </wp:positionV>
            <wp:extent cx="6810375" cy="3619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0375" cy="3619500"/>
                    </a:xfrm>
                    <a:prstGeom prst="rect">
                      <a:avLst/>
                    </a:prstGeom>
                    <a:noFill/>
                  </pic:spPr>
                </pic:pic>
              </a:graphicData>
            </a:graphic>
          </wp:anchor>
        </w:drawing>
      </w:r>
    </w:p>
    <w:p>
      <w:pPr>
        <w:spacing w:after="0" w:line="126" w:lineRule="exact"/>
        <w:rPr>
          <w:sz w:val="20"/>
          <w:szCs w:val="20"/>
          <w:color w:val="auto"/>
        </w:rPr>
      </w:pPr>
    </w:p>
    <w:p>
      <w:pPr>
        <w:ind w:left="140" w:right="820"/>
        <w:spacing w:after="0" w:line="244" w:lineRule="auto"/>
        <w:rPr>
          <w:sz w:val="20"/>
          <w:szCs w:val="20"/>
          <w:color w:val="auto"/>
        </w:rPr>
      </w:pPr>
      <w:r>
        <w:rPr>
          <w:rFonts w:ascii="Arial" w:cs="Arial" w:eastAsia="Arial" w:hAnsi="Arial"/>
          <w:sz w:val="20"/>
          <w:szCs w:val="20"/>
          <w:color w:val="auto"/>
        </w:rPr>
        <w:t>Because Proposal Number Two asks for a non-binding, advisory vote, there is no required vote that would constitute approval. We value the opinions expressed by our shareholders in this advisory vote, and our Compensation &amp; Human Capital Committee will consider the outcome of the vote when evaluating our compensation programs and making future compensation decisions for our NEOs. Abstentions and broker non-votes, if any, will not have any effect on this advisory vote.</w:t>
      </w:r>
    </w:p>
    <w:p>
      <w:pPr>
        <w:spacing w:after="0" w:line="149" w:lineRule="exact"/>
        <w:rPr>
          <w:sz w:val="20"/>
          <w:szCs w:val="20"/>
          <w:color w:val="auto"/>
        </w:rPr>
      </w:pPr>
    </w:p>
    <w:p>
      <w:pPr>
        <w:jc w:val="both"/>
        <w:ind w:left="140" w:hanging="10"/>
        <w:spacing w:after="0" w:line="226" w:lineRule="auto"/>
        <w:tabs>
          <w:tab w:leader="none" w:pos="5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WHAT ARE MY CHOICES WHEN VOTING ON THE RATIFICATION OF THE APPOINTMENT OF PWC AS THE COMPANY’S INDEPENDENT REGISTERED PUBLIC ACCOUNTING FIRM FOR FISC 2025, AND WHAT VOTE IS NEEDED TO APPROVE THIS PROPOSAL?</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voting on the ratification of PwC (“Proposal Number Three”), shareholders may:</w:t>
      </w:r>
    </w:p>
    <w:p>
      <w:pPr>
        <w:spacing w:after="0" w:line="67" w:lineRule="exact"/>
        <w:rPr>
          <w:sz w:val="20"/>
          <w:szCs w:val="20"/>
          <w:color w:val="auto"/>
        </w:rPr>
      </w:pPr>
    </w:p>
    <w:p>
      <w:pPr>
        <w:ind w:left="620" w:hanging="387"/>
        <w:spacing w:after="0"/>
        <w:tabs>
          <w:tab w:leader="none" w:pos="620" w:val="left"/>
        </w:tabs>
        <w:numPr>
          <w:ilvl w:val="1"/>
          <w:numId w:val="91"/>
        </w:numPr>
        <w:rPr>
          <w:rFonts w:ascii="Arial" w:cs="Arial" w:eastAsia="Arial" w:hAnsi="Arial"/>
          <w:sz w:val="20"/>
          <w:szCs w:val="20"/>
          <w:color w:val="auto"/>
        </w:rPr>
      </w:pPr>
      <w:r>
        <w:rPr>
          <w:rFonts w:ascii="Arial" w:cs="Arial" w:eastAsia="Arial" w:hAnsi="Arial"/>
          <w:sz w:val="20"/>
          <w:szCs w:val="20"/>
          <w:color w:val="auto"/>
        </w:rPr>
        <w:t>vote to ratify PwC’s appointment;</w:t>
      </w:r>
    </w:p>
    <w:p>
      <w:pPr>
        <w:spacing w:after="0" w:line="80" w:lineRule="exact"/>
        <w:rPr>
          <w:rFonts w:ascii="Arial" w:cs="Arial" w:eastAsia="Arial" w:hAnsi="Arial"/>
          <w:sz w:val="20"/>
          <w:szCs w:val="20"/>
          <w:color w:val="auto"/>
        </w:rPr>
      </w:pPr>
    </w:p>
    <w:p>
      <w:pPr>
        <w:ind w:left="620" w:hanging="387"/>
        <w:spacing w:after="0"/>
        <w:tabs>
          <w:tab w:leader="none" w:pos="620" w:val="left"/>
        </w:tabs>
        <w:numPr>
          <w:ilvl w:val="1"/>
          <w:numId w:val="91"/>
        </w:numPr>
        <w:rPr>
          <w:rFonts w:ascii="Arial" w:cs="Arial" w:eastAsia="Arial" w:hAnsi="Arial"/>
          <w:sz w:val="20"/>
          <w:szCs w:val="20"/>
          <w:color w:val="auto"/>
        </w:rPr>
      </w:pPr>
      <w:r>
        <w:rPr>
          <w:rFonts w:ascii="Arial" w:cs="Arial" w:eastAsia="Arial" w:hAnsi="Arial"/>
          <w:sz w:val="20"/>
          <w:szCs w:val="20"/>
          <w:color w:val="auto"/>
        </w:rPr>
        <w:t>vote against ratifying PwC’s appointment; or</w:t>
      </w:r>
    </w:p>
    <w:p>
      <w:pPr>
        <w:spacing w:after="0" w:line="67" w:lineRule="exact"/>
        <w:rPr>
          <w:rFonts w:ascii="Arial" w:cs="Arial" w:eastAsia="Arial" w:hAnsi="Arial"/>
          <w:sz w:val="20"/>
          <w:szCs w:val="20"/>
          <w:color w:val="auto"/>
        </w:rPr>
      </w:pPr>
    </w:p>
    <w:p>
      <w:pPr>
        <w:ind w:left="620" w:hanging="402"/>
        <w:spacing w:after="0"/>
        <w:tabs>
          <w:tab w:leader="none" w:pos="6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abstain from voting on ratifying PwC’s appointment.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68141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681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right="960"/>
        <w:spacing w:after="0" w:line="244" w:lineRule="auto"/>
        <w:rPr>
          <w:sz w:val="20"/>
          <w:szCs w:val="20"/>
          <w:color w:val="auto"/>
        </w:rPr>
      </w:pPr>
      <w:r>
        <w:rPr>
          <w:rFonts w:ascii="Arial" w:cs="Arial" w:eastAsia="Arial" w:hAnsi="Arial"/>
          <w:sz w:val="20"/>
          <w:szCs w:val="20"/>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22" w:lineRule="exact"/>
        <w:rPr>
          <w:sz w:val="20"/>
          <w:szCs w:val="20"/>
          <w:color w:val="auto"/>
        </w:rPr>
      </w:pPr>
    </w:p>
    <w:p>
      <w:pPr>
        <w:ind w:left="500" w:hanging="370"/>
        <w:spacing w:after="0"/>
        <w:tabs>
          <w:tab w:leader="none" w:pos="5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HOW DOES THE BOARD RECOMMEND THAT I VOTE?</w:t>
      </w:r>
    </w:p>
    <w:p>
      <w:pPr>
        <w:spacing w:after="0" w:line="62" w:lineRule="exact"/>
        <w:rPr>
          <w:rFonts w:ascii="Arial" w:cs="Arial" w:eastAsia="Arial" w:hAnsi="Arial"/>
          <w:sz w:val="22"/>
          <w:szCs w:val="22"/>
          <w:color w:val="auto"/>
        </w:rPr>
      </w:pPr>
    </w:p>
    <w:p>
      <w:pPr>
        <w:ind w:left="140"/>
        <w:spacing w:after="0"/>
        <w:rPr>
          <w:rFonts w:ascii="Arial" w:cs="Arial" w:eastAsia="Arial" w:hAnsi="Arial"/>
          <w:sz w:val="22"/>
          <w:szCs w:val="22"/>
          <w:color w:val="auto"/>
        </w:rPr>
      </w:pPr>
      <w:r>
        <w:rPr>
          <w:rFonts w:ascii="Arial" w:cs="Arial" w:eastAsia="Arial" w:hAnsi="Arial"/>
          <w:sz w:val="20"/>
          <w:szCs w:val="20"/>
          <w:color w:val="auto"/>
        </w:rPr>
        <w:t>The Board recommends a vote:</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FOR</w:t>
      </w:r>
      <w:r>
        <w:rPr>
          <w:rFonts w:ascii="Arial" w:cs="Arial" w:eastAsia="Arial" w:hAnsi="Arial"/>
          <w:sz w:val="20"/>
          <w:szCs w:val="20"/>
          <w:color w:val="auto"/>
        </w:rPr>
        <w:t>the election of the 11 nominated directors (Proposal Number One);</w:t>
      </w:r>
    </w:p>
    <w:p>
      <w:pPr>
        <w:spacing w:after="0" w:line="175" w:lineRule="exact"/>
        <w:rPr>
          <w:sz w:val="20"/>
          <w:szCs w:val="20"/>
          <w:color w:val="auto"/>
        </w:rPr>
      </w:pPr>
    </w:p>
    <w:p>
      <w:pPr>
        <w:ind w:left="140" w:right="600"/>
        <w:spacing w:after="0" w:line="259" w:lineRule="auto"/>
        <w:rPr>
          <w:sz w:val="20"/>
          <w:szCs w:val="20"/>
          <w:color w:val="auto"/>
        </w:rPr>
      </w:pPr>
      <w:r>
        <w:rPr>
          <w:rFonts w:ascii="Arial" w:cs="Arial" w:eastAsia="Arial" w:hAnsi="Arial"/>
          <w:sz w:val="20"/>
          <w:szCs w:val="20"/>
          <w:b w:val="1"/>
          <w:bCs w:val="1"/>
          <w:color w:val="auto"/>
        </w:rPr>
        <w:t>FOR</w:t>
      </w:r>
      <w:r>
        <w:rPr>
          <w:rFonts w:ascii="Arial" w:cs="Arial" w:eastAsia="Arial" w:hAnsi="Arial"/>
          <w:sz w:val="20"/>
          <w:szCs w:val="20"/>
          <w:color w:val="auto"/>
        </w:rPr>
        <w:t>the approval of the compensation of Carter’s NEOs, on an advisory basis, as described in this proxy</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 (Proposal Number Two); and</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FOR</w:t>
      </w:r>
      <w:r>
        <w:rPr>
          <w:rFonts w:ascii="Arial" w:cs="Arial" w:eastAsia="Arial" w:hAnsi="Arial"/>
          <w:sz w:val="20"/>
          <w:szCs w:val="20"/>
          <w:color w:val="auto"/>
        </w:rPr>
        <w:t>the ratification of the appointment of PwC (Proposal Number Three).</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14. HOW DO I VOTE?</w:t>
      </w:r>
    </w:p>
    <w:p>
      <w:pPr>
        <w:spacing w:after="0" w:line="182" w:lineRule="exact"/>
        <w:rPr>
          <w:sz w:val="20"/>
          <w:szCs w:val="20"/>
          <w:color w:val="auto"/>
        </w:rPr>
      </w:pPr>
    </w:p>
    <w:p>
      <w:pPr>
        <w:ind w:left="140" w:right="420"/>
        <w:spacing w:after="0" w:line="254" w:lineRule="auto"/>
        <w:rPr>
          <w:sz w:val="20"/>
          <w:szCs w:val="20"/>
          <w:color w:val="auto"/>
        </w:rPr>
      </w:pPr>
      <w:r>
        <w:rPr>
          <w:rFonts w:ascii="Arial" w:cs="Arial" w:eastAsia="Arial" w:hAnsi="Arial"/>
          <w:sz w:val="20"/>
          <w:szCs w:val="20"/>
          <w:b w:val="1"/>
          <w:bCs w:val="1"/>
          <w:color w:val="auto"/>
        </w:rPr>
        <w:t>You may hold Company shares in multiple accounts and therefore receive more than one set of the proxy materials. To ensure that all of your shares are voted, please submit your proxy or voting instructions for each account for which you have received a set of the proxy materials.</w:t>
      </w:r>
    </w:p>
    <w:p>
      <w:pPr>
        <w:spacing w:after="0" w:line="149" w:lineRule="exact"/>
        <w:rPr>
          <w:sz w:val="20"/>
          <w:szCs w:val="20"/>
          <w:color w:val="auto"/>
        </w:rPr>
      </w:pPr>
    </w:p>
    <w:p>
      <w:pPr>
        <w:jc w:val="both"/>
        <w:ind w:left="140" w:right="880"/>
        <w:spacing w:after="0" w:line="255" w:lineRule="auto"/>
        <w:rPr>
          <w:sz w:val="20"/>
          <w:szCs w:val="20"/>
          <w:color w:val="auto"/>
        </w:rPr>
      </w:pPr>
      <w:r>
        <w:rPr>
          <w:rFonts w:ascii="Arial" w:cs="Arial" w:eastAsia="Arial" w:hAnsi="Arial"/>
          <w:sz w:val="20"/>
          <w:szCs w:val="20"/>
          <w:i w:val="1"/>
          <w:iCs w:val="1"/>
          <w:color w:val="auto"/>
        </w:rPr>
        <w:t>Shares Held of Record</w:t>
      </w:r>
      <w:r>
        <w:rPr>
          <w:rFonts w:ascii="Arial" w:cs="Arial" w:eastAsia="Arial" w:hAnsi="Arial"/>
          <w:sz w:val="20"/>
          <w:szCs w:val="20"/>
          <w:color w:val="auto"/>
        </w:rPr>
        <w:t>If</w:t>
      </w:r>
      <w:r>
        <w:rPr>
          <w:rFonts w:ascii="Arial" w:cs="Arial" w:eastAsia="Arial" w:hAnsi="Arial"/>
          <w:sz w:val="20"/>
          <w:szCs w:val="20"/>
          <w:i w:val="1"/>
          <w:iCs w:val="1"/>
          <w:color w:val="auto"/>
        </w:rPr>
        <w:t>.</w:t>
      </w:r>
      <w:r>
        <w:rPr>
          <w:rFonts w:ascii="Arial" w:cs="Arial" w:eastAsia="Arial" w:hAnsi="Arial"/>
          <w:sz w:val="20"/>
          <w:szCs w:val="20"/>
          <w:color w:val="auto"/>
        </w:rPr>
        <w:t>you hold your shares in your own name as a holder of record with our transfer</w:t>
      </w:r>
      <w:r>
        <w:rPr>
          <w:rFonts w:ascii="Arial" w:cs="Arial" w:eastAsia="Arial" w:hAnsi="Arial"/>
          <w:sz w:val="20"/>
          <w:szCs w:val="20"/>
          <w:i w:val="1"/>
          <w:iCs w:val="1"/>
          <w:color w:val="auto"/>
        </w:rPr>
        <w:t xml:space="preserve"> </w:t>
      </w:r>
      <w:r>
        <w:rPr>
          <w:rFonts w:ascii="Arial" w:cs="Arial" w:eastAsia="Arial" w:hAnsi="Arial"/>
          <w:sz w:val="20"/>
          <w:szCs w:val="20"/>
          <w:color w:val="auto"/>
        </w:rPr>
        <w:t>agent, Equiniti Trust Company, you may authorize that your shares be voted at the Annual Meeting in one of the following ways:</w:t>
      </w:r>
    </w:p>
    <w:p>
      <w:pPr>
        <w:sectPr>
          <w:pgSz w:w="11900" w:h="16838" w:orient="portrait"/>
          <w:cols w:equalWidth="0" w:num="1">
            <w:col w:w="9860"/>
          </w:cols>
          <w:pgMar w:left="1440" w:top="118" w:right="599" w:bottom="0" w:gutter="0" w:footer="0" w:header="0"/>
        </w:sect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By Internet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80"/>
        <w:spacing w:after="0" w:line="271" w:lineRule="auto"/>
        <w:rPr>
          <w:sz w:val="20"/>
          <w:szCs w:val="20"/>
          <w:color w:val="auto"/>
        </w:rPr>
      </w:pPr>
      <w:r>
        <w:rPr>
          <w:rFonts w:ascii="Arial" w:cs="Arial" w:eastAsia="Arial" w:hAnsi="Arial"/>
          <w:sz w:val="20"/>
          <w:szCs w:val="20"/>
          <w:color w:val="auto"/>
        </w:rPr>
        <w:t>If you received a printed copy of the proxy materials, follow the instructions on the proxy card.</w:t>
      </w:r>
    </w:p>
    <w:p>
      <w:pPr>
        <w:spacing w:after="0" w:line="73" w:lineRule="exact"/>
        <w:rPr>
          <w:sz w:val="20"/>
          <w:szCs w:val="20"/>
          <w:color w:val="auto"/>
        </w:rPr>
      </w:pPr>
    </w:p>
    <w:p>
      <w:pPr>
        <w:sectPr>
          <w:pgSz w:w="11900" w:h="16838" w:orient="portrait"/>
          <w:cols w:equalWidth="0" w:num="2">
            <w:col w:w="1260" w:space="720"/>
            <w:col w:w="7880"/>
          </w:cols>
          <w:pgMar w:left="1440" w:top="118" w:right="599" w:bottom="0" w:gutter="0" w:footer="0" w:header="0"/>
          <w:type w:val="continuous"/>
        </w:sectPr>
      </w:pPr>
    </w:p>
    <w:p>
      <w:pPr>
        <w:ind w:left="180"/>
        <w:spacing w:after="0"/>
        <w:rPr>
          <w:sz w:val="20"/>
          <w:szCs w:val="20"/>
          <w:color w:val="auto"/>
        </w:rPr>
      </w:pPr>
      <w:r>
        <w:rPr>
          <w:rFonts w:ascii="Arial" w:cs="Arial" w:eastAsia="Arial" w:hAnsi="Arial"/>
          <w:sz w:val="19"/>
          <w:szCs w:val="19"/>
          <w:b w:val="1"/>
          <w:bCs w:val="1"/>
          <w:color w:val="auto"/>
        </w:rPr>
        <w:t>By Telephone</w:t>
      </w:r>
    </w:p>
    <w:p>
      <w:pPr>
        <w:spacing w:after="0" w:line="20" w:lineRule="exact"/>
        <w:rPr>
          <w:sz w:val="20"/>
          <w:szCs w:val="20"/>
          <w:color w:val="auto"/>
        </w:rPr>
      </w:pPr>
      <w:r>
        <w:rPr>
          <w:sz w:val="20"/>
          <w:szCs w:val="20"/>
          <w:color w:val="auto"/>
        </w:rPr>
        <w:br w:type="column"/>
      </w:r>
    </w:p>
    <w:p>
      <w:pPr>
        <w:ind w:right="1080"/>
        <w:spacing w:after="0" w:line="271" w:lineRule="auto"/>
        <w:rPr>
          <w:sz w:val="20"/>
          <w:szCs w:val="20"/>
          <w:color w:val="auto"/>
        </w:rPr>
      </w:pPr>
      <w:r>
        <w:rPr>
          <w:rFonts w:ascii="Arial" w:cs="Arial" w:eastAsia="Arial" w:hAnsi="Arial"/>
          <w:sz w:val="20"/>
          <w:szCs w:val="20"/>
          <w:color w:val="auto"/>
        </w:rPr>
        <w:t>If you received a printed copy of the proxy materials, follow the instructions on the proxy card.</w:t>
      </w:r>
    </w:p>
    <w:p>
      <w:pPr>
        <w:spacing w:after="0" w:line="73" w:lineRule="exact"/>
        <w:rPr>
          <w:sz w:val="20"/>
          <w:szCs w:val="20"/>
          <w:color w:val="auto"/>
        </w:rPr>
      </w:pPr>
    </w:p>
    <w:p>
      <w:pPr>
        <w:sectPr>
          <w:pgSz w:w="11900" w:h="16838" w:orient="portrait"/>
          <w:cols w:equalWidth="0" w:num="2">
            <w:col w:w="1460" w:space="520"/>
            <w:col w:w="7880"/>
          </w:cols>
          <w:pgMar w:left="1440" w:top="118" w:right="599" w:bottom="0" w:gutter="0" w:footer="0" w:header="0"/>
          <w:type w:val="continuous"/>
        </w:sectPr>
      </w:pPr>
    </w:p>
    <w:p>
      <w:pPr>
        <w:ind w:left="180"/>
        <w:spacing w:after="0"/>
        <w:rPr>
          <w:sz w:val="20"/>
          <w:szCs w:val="20"/>
          <w:color w:val="auto"/>
        </w:rPr>
      </w:pPr>
      <w:r>
        <w:rPr>
          <w:rFonts w:ascii="Arial" w:cs="Arial" w:eastAsia="Arial" w:hAnsi="Arial"/>
          <w:sz w:val="19"/>
          <w:szCs w:val="19"/>
          <w:b w:val="1"/>
          <w:bCs w:val="1"/>
          <w:color w:val="auto"/>
        </w:rPr>
        <w:t>By Mail</w:t>
      </w:r>
    </w:p>
    <w:p>
      <w:pPr>
        <w:spacing w:after="0" w:line="20" w:lineRule="exact"/>
        <w:rPr>
          <w:sz w:val="20"/>
          <w:szCs w:val="20"/>
          <w:color w:val="auto"/>
        </w:rPr>
      </w:pPr>
      <w:r>
        <w:rPr>
          <w:sz w:val="20"/>
          <w:szCs w:val="20"/>
          <w:color w:val="auto"/>
        </w:rPr>
        <w:br w:type="column"/>
      </w:r>
    </w:p>
    <w:p>
      <w:pPr>
        <w:ind w:right="1040"/>
        <w:spacing w:after="0" w:line="271" w:lineRule="auto"/>
        <w:rPr>
          <w:sz w:val="20"/>
          <w:szCs w:val="20"/>
          <w:color w:val="auto"/>
        </w:rPr>
      </w:pPr>
      <w:r>
        <w:rPr>
          <w:rFonts w:ascii="Arial" w:cs="Arial" w:eastAsia="Arial" w:hAnsi="Arial"/>
          <w:sz w:val="20"/>
          <w:szCs w:val="20"/>
          <w:color w:val="auto"/>
        </w:rPr>
        <w:t>If you received a printed copy of the proxy materials, complete, sign, date, and mail your proxy card in the enclosed, postage-prepaid envelope.</w:t>
      </w:r>
    </w:p>
    <w:p>
      <w:pPr>
        <w:spacing w:after="0" w:line="59" w:lineRule="exact"/>
        <w:rPr>
          <w:sz w:val="20"/>
          <w:szCs w:val="20"/>
          <w:color w:val="auto"/>
        </w:rPr>
      </w:pPr>
    </w:p>
    <w:p>
      <w:pPr>
        <w:sectPr>
          <w:pgSz w:w="11900" w:h="16838" w:orient="portrait"/>
          <w:cols w:equalWidth="0" w:num="2">
            <w:col w:w="1260" w:space="720"/>
            <w:col w:w="7880"/>
          </w:cols>
          <w:pgMar w:left="1440" w:top="118" w:right="599" w:bottom="0" w:gutter="0" w:footer="0" w:header="0"/>
          <w:type w:val="continuous"/>
        </w:sectPr>
      </w:pPr>
    </w:p>
    <w:p>
      <w:pPr>
        <w:ind w:left="1980" w:right="1040" w:hanging="1795"/>
        <w:spacing w:after="0" w:line="255" w:lineRule="auto"/>
        <w:rPr>
          <w:sz w:val="20"/>
          <w:szCs w:val="20"/>
          <w:color w:val="auto"/>
        </w:rPr>
      </w:pPr>
      <w:r>
        <w:rPr>
          <w:rFonts w:ascii="Arial" w:cs="Arial" w:eastAsia="Arial" w:hAnsi="Arial"/>
          <w:sz w:val="20"/>
          <w:szCs w:val="20"/>
          <w:b w:val="1"/>
          <w:bCs w:val="1"/>
          <w:color w:val="auto"/>
        </w:rPr>
        <w:t xml:space="preserve">In Person (Virtual) </w:t>
      </w:r>
      <w:r>
        <w:rPr>
          <w:rFonts w:ascii="Arial" w:cs="Arial" w:eastAsia="Arial" w:hAnsi="Arial"/>
          <w:sz w:val="20"/>
          <w:szCs w:val="20"/>
          <w:color w:val="auto"/>
        </w:rPr>
        <w:t>You may also vote by attending the meeting virtually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www.proxydocs.com/CRI. To attend the Annual Meeting and vote your shares, you must register for the Annual Meeting and provide the control number located on your proxy card.</w:t>
      </w:r>
    </w:p>
    <w:p>
      <w:pPr>
        <w:spacing w:after="0" w:line="200" w:lineRule="exact"/>
        <w:rPr>
          <w:sz w:val="20"/>
          <w:szCs w:val="20"/>
          <w:color w:val="auto"/>
        </w:rPr>
      </w:pPr>
    </w:p>
    <w:p>
      <w:pPr>
        <w:spacing w:after="0" w:line="283" w:lineRule="exact"/>
        <w:rPr>
          <w:sz w:val="20"/>
          <w:szCs w:val="20"/>
          <w:color w:val="auto"/>
        </w:rPr>
      </w:pPr>
    </w:p>
    <w:p>
      <w:pPr>
        <w:ind w:left="140" w:right="780"/>
        <w:spacing w:after="0" w:line="275" w:lineRule="auto"/>
        <w:rPr>
          <w:sz w:val="20"/>
          <w:szCs w:val="20"/>
          <w:color w:val="auto"/>
        </w:rPr>
      </w:pPr>
      <w:r>
        <w:rPr>
          <w:rFonts w:ascii="Arial" w:cs="Arial" w:eastAsia="Arial" w:hAnsi="Arial"/>
          <w:sz w:val="19"/>
          <w:szCs w:val="19"/>
          <w:i w:val="1"/>
          <w:iCs w:val="1"/>
          <w:color w:val="auto"/>
        </w:rPr>
        <w:t>Shares Held in Street Name</w:t>
      </w:r>
      <w:r>
        <w:rPr>
          <w:rFonts w:ascii="Arial" w:cs="Arial" w:eastAsia="Arial" w:hAnsi="Arial"/>
          <w:sz w:val="19"/>
          <w:szCs w:val="19"/>
          <w:color w:val="auto"/>
        </w:rPr>
        <w:t>Ifyou</w:t>
      </w:r>
      <w:r>
        <w:rPr>
          <w:rFonts w:ascii="Arial" w:cs="Arial" w:eastAsia="Arial" w:hAnsi="Arial"/>
          <w:sz w:val="19"/>
          <w:szCs w:val="19"/>
          <w:i w:val="1"/>
          <w:iCs w:val="1"/>
          <w:color w:val="auto"/>
        </w:rPr>
        <w:t xml:space="preserve">. </w:t>
      </w:r>
      <w:r>
        <w:rPr>
          <w:rFonts w:ascii="Arial" w:cs="Arial" w:eastAsia="Arial" w:hAnsi="Arial"/>
          <w:sz w:val="19"/>
          <w:szCs w:val="19"/>
          <w:color w:val="auto"/>
        </w:rPr>
        <w:t>hold your shares through a broker, bank or other nominee (that is, in</w:t>
      </w:r>
      <w:r>
        <w:rPr>
          <w:rFonts w:ascii="Arial" w:cs="Arial" w:eastAsia="Arial" w:hAnsi="Arial"/>
          <w:sz w:val="19"/>
          <w:szCs w:val="19"/>
          <w:i w:val="1"/>
          <w:iCs w:val="1"/>
          <w:color w:val="auto"/>
        </w:rPr>
        <w:t xml:space="preserve"> </w:t>
      </w:r>
      <w:r>
        <w:rPr>
          <w:rFonts w:ascii="Arial" w:cs="Arial" w:eastAsia="Arial" w:hAnsi="Arial"/>
          <w:sz w:val="19"/>
          <w:szCs w:val="19"/>
          <w:color w:val="auto"/>
        </w:rPr>
        <w:t>street name), you will receive instructions from your broker, bank or nominee that you must follow in order to submit your voting instructions and have your shares voted at the Annual Meeting. If you want</w:t>
      </w:r>
    </w:p>
    <w:p>
      <w:pPr>
        <w:sectPr>
          <w:pgSz w:w="11900" w:h="16838" w:orient="portrait"/>
          <w:cols w:equalWidth="0" w:num="1">
            <w:col w:w="9860"/>
          </w:cols>
          <w:pgMar w:left="1440" w:top="118" w:right="599" w:bottom="0" w:gutter="0" w:footer="0" w:header="0"/>
          <w:type w:val="continuous"/>
        </w:sectPr>
      </w:pPr>
    </w:p>
    <w:bookmarkStart w:id="72" w:name="page73"/>
    <w:bookmarkEnd w:id="72"/>
    <w:p>
      <w:pPr>
        <w:ind w:left="140" w:right="520"/>
        <w:spacing w:after="0" w:line="466" w:lineRule="auto"/>
        <w:rPr>
          <w:sz w:val="20"/>
          <w:szCs w:val="20"/>
          <w:color w:val="auto"/>
        </w:rPr>
      </w:pPr>
      <w:r>
        <w:rPr>
          <w:rFonts w:ascii="Arial" w:cs="Arial" w:eastAsia="Arial" w:hAnsi="Arial"/>
          <w:sz w:val="12"/>
          <w:szCs w:val="12"/>
          <w:color w:val="auto"/>
        </w:rPr>
        <w:t>to</w:t>
      </w:r>
      <w:r>
        <w:rPr>
          <w:rFonts w:ascii="Arial" w:cs="Arial" w:eastAsia="Arial" w:hAnsi="Arial"/>
          <w:sz w:val="18"/>
          <w:szCs w:val="18"/>
          <w:color w:val="auto"/>
          <w:vertAlign w:val="subscript"/>
        </w:rPr>
        <w:t>instructed</w:t>
      </w:r>
      <w:r>
        <w:rPr>
          <w:rFonts w:ascii="Arial" w:cs="Arial" w:eastAsia="Arial" w:hAnsi="Arial"/>
          <w:sz w:val="12"/>
          <w:szCs w:val="12"/>
          <w:color w:val="auto"/>
        </w:rPr>
        <w:t>votein person</w:t>
      </w:r>
      <w:r>
        <w:rPr>
          <w:rFonts w:ascii="Arial" w:cs="Arial" w:eastAsia="Arial" w:hAnsi="Arial"/>
          <w:sz w:val="18"/>
          <w:szCs w:val="18"/>
          <w:color w:val="auto"/>
          <w:vertAlign w:val="subscript"/>
        </w:rPr>
        <w:t>toobtain</w:t>
      </w:r>
      <w:r>
        <w:rPr>
          <w:rFonts w:ascii="Arial" w:cs="Arial" w:eastAsia="Arial" w:hAnsi="Arial"/>
          <w:sz w:val="12"/>
          <w:szCs w:val="12"/>
          <w:color w:val="auto"/>
        </w:rPr>
        <w:t>(virtually),</w:t>
      </w:r>
      <w:r>
        <w:rPr>
          <w:rFonts w:ascii="Arial" w:cs="Arial" w:eastAsia="Arial" w:hAnsi="Arial"/>
          <w:sz w:val="18"/>
          <w:szCs w:val="18"/>
          <w:color w:val="auto"/>
          <w:vertAlign w:val="subscript"/>
        </w:rPr>
        <w:t>alegalpr</w:t>
      </w:r>
      <w:r>
        <w:rPr>
          <w:rFonts w:ascii="Arial" w:cs="Arial" w:eastAsia="Arial" w:hAnsi="Arial"/>
          <w:sz w:val="12"/>
          <w:szCs w:val="12"/>
          <w:color w:val="auto"/>
        </w:rPr>
        <w:t>y</w:t>
      </w:r>
      <w:r>
        <w:rPr>
          <w:rFonts w:ascii="Arial" w:cs="Arial" w:eastAsia="Arial" w:hAnsi="Arial"/>
          <w:sz w:val="18"/>
          <w:szCs w:val="18"/>
          <w:color w:val="auto"/>
          <w:vertAlign w:val="subscript"/>
        </w:rPr>
        <w:t>o</w:t>
      </w:r>
      <w:r>
        <w:rPr>
          <w:rFonts w:ascii="Arial" w:cs="Arial" w:eastAsia="Arial" w:hAnsi="Arial"/>
          <w:sz w:val="12"/>
          <w:szCs w:val="12"/>
          <w:color w:val="auto"/>
        </w:rPr>
        <w:t>u</w:t>
      </w:r>
      <w:r>
        <w:rPr>
          <w:rFonts w:ascii="Arial" w:cs="Arial" w:eastAsia="Arial" w:hAnsi="Arial"/>
          <w:sz w:val="18"/>
          <w:szCs w:val="18"/>
          <w:color w:val="auto"/>
          <w:vertAlign w:val="subscript"/>
        </w:rPr>
        <w:t>xy</w:t>
      </w:r>
      <w:r>
        <w:rPr>
          <w:rFonts w:ascii="Arial" w:cs="Arial" w:eastAsia="Arial" w:hAnsi="Arial"/>
          <w:sz w:val="12"/>
          <w:szCs w:val="12"/>
          <w:color w:val="auto"/>
        </w:rPr>
        <w:t>must</w:t>
      </w:r>
      <w:r>
        <w:rPr>
          <w:rFonts w:ascii="Arial" w:cs="Arial" w:eastAsia="Arial" w:hAnsi="Arial"/>
          <w:sz w:val="18"/>
          <w:szCs w:val="18"/>
          <w:color w:val="auto"/>
          <w:vertAlign w:val="subscript"/>
        </w:rPr>
        <w:t>from</w:t>
      </w:r>
      <w:r>
        <w:rPr>
          <w:rFonts w:ascii="Arial" w:cs="Arial" w:eastAsia="Arial" w:hAnsi="Arial"/>
          <w:sz w:val="12"/>
          <w:szCs w:val="12"/>
          <w:color w:val="auto"/>
        </w:rPr>
        <w:t>register</w:t>
      </w:r>
      <w:r>
        <w:rPr>
          <w:rFonts w:ascii="Arial" w:cs="Arial" w:eastAsia="Arial" w:hAnsi="Arial"/>
          <w:sz w:val="18"/>
          <w:szCs w:val="18"/>
          <w:color w:val="auto"/>
          <w:vertAlign w:val="subscript"/>
        </w:rPr>
        <w:t>yourbroker,</w:t>
      </w:r>
      <w:r>
        <w:rPr>
          <w:rFonts w:ascii="Arial" w:cs="Arial" w:eastAsia="Arial" w:hAnsi="Arial"/>
          <w:sz w:val="12"/>
          <w:szCs w:val="12"/>
          <w:color w:val="auto"/>
        </w:rPr>
        <w:t>inadvance</w:t>
      </w:r>
      <w:r>
        <w:rPr>
          <w:rFonts w:ascii="Arial" w:cs="Arial" w:eastAsia="Arial" w:hAnsi="Arial"/>
          <w:sz w:val="18"/>
          <w:szCs w:val="18"/>
          <w:color w:val="auto"/>
          <w:vertAlign w:val="subscript"/>
        </w:rPr>
        <w:t>bankor</w:t>
      </w:r>
      <w:r>
        <w:rPr>
          <w:rFonts w:ascii="Arial" w:cs="Arial" w:eastAsia="Arial" w:hAnsi="Arial"/>
          <w:sz w:val="12"/>
          <w:szCs w:val="12"/>
          <w:color w:val="auto"/>
        </w:rPr>
        <w:t>at</w:t>
      </w:r>
      <w:r>
        <w:rPr>
          <w:rFonts w:ascii="Arial" w:cs="Arial" w:eastAsia="Arial" w:hAnsi="Arial"/>
          <w:sz w:val="18"/>
          <w:szCs w:val="18"/>
          <w:color w:val="auto"/>
          <w:vertAlign w:val="subscript"/>
        </w:rPr>
        <w:t>other</w:t>
      </w:r>
      <w:r>
        <w:rPr>
          <w:rFonts w:ascii="Arial" w:cs="Arial" w:eastAsia="Arial" w:hAnsi="Arial"/>
          <w:sz w:val="12"/>
          <w:szCs w:val="12"/>
          <w:color w:val="auto"/>
        </w:rPr>
        <w:t>www.</w:t>
      </w:r>
      <w:r>
        <w:rPr>
          <w:rFonts w:ascii="Arial" w:cs="Arial" w:eastAsia="Arial" w:hAnsi="Arial"/>
          <w:sz w:val="18"/>
          <w:szCs w:val="18"/>
          <w:color w:val="auto"/>
          <w:vertAlign w:val="subscript"/>
        </w:rPr>
        <w:t>nominee</w:t>
      </w:r>
      <w:r>
        <w:rPr>
          <w:rFonts w:ascii="Arial" w:cs="Arial" w:eastAsia="Arial" w:hAnsi="Arial"/>
          <w:sz w:val="12"/>
          <w:szCs w:val="12"/>
          <w:color w:val="auto"/>
        </w:rPr>
        <w:t>proxydocs</w:t>
      </w:r>
      <w:r>
        <w:rPr>
          <w:rFonts w:ascii="Arial" w:cs="Arial" w:eastAsia="Arial" w:hAnsi="Arial"/>
          <w:sz w:val="18"/>
          <w:szCs w:val="18"/>
          <w:color w:val="auto"/>
          <w:vertAlign w:val="subscript"/>
        </w:rPr>
        <w:t>and</w:t>
      </w:r>
      <w:r>
        <w:rPr>
          <w:rFonts w:ascii="Arial" w:cs="Arial" w:eastAsia="Arial" w:hAnsi="Arial"/>
          <w:sz w:val="12"/>
          <w:szCs w:val="12"/>
          <w:color w:val="auto"/>
        </w:rPr>
        <w:t>.com/CRI</w:t>
      </w:r>
      <w:r>
        <w:rPr>
          <w:rFonts w:ascii="Arial" w:cs="Arial" w:eastAsia="Arial" w:hAnsi="Arial"/>
          <w:sz w:val="18"/>
          <w:szCs w:val="18"/>
          <w:color w:val="auto"/>
          <w:vertAlign w:val="subscript"/>
        </w:rPr>
        <w:t>tosubmit</w:t>
      </w:r>
      <w:r>
        <w:rPr>
          <w:rFonts w:ascii="Arial" w:cs="Arial" w:eastAsia="Arial" w:hAnsi="Arial"/>
          <w:sz w:val="12"/>
          <w:szCs w:val="12"/>
          <w:color w:val="auto"/>
        </w:rPr>
        <w:t>.You</w:t>
      </w:r>
      <w:r>
        <w:rPr>
          <w:rFonts w:ascii="Arial" w:cs="Arial" w:eastAsia="Arial" w:hAnsi="Arial"/>
          <w:sz w:val="18"/>
          <w:szCs w:val="18"/>
          <w:color w:val="auto"/>
          <w:vertAlign w:val="subscript"/>
        </w:rPr>
        <w:t>a cop</w:t>
      </w:r>
      <w:r>
        <w:rPr>
          <w:rFonts w:ascii="Arial" w:cs="Arial" w:eastAsia="Arial" w:hAnsi="Arial"/>
          <w:sz w:val="12"/>
          <w:szCs w:val="12"/>
          <w:color w:val="auto"/>
        </w:rPr>
        <w:t>ma</w:t>
      </w:r>
      <w:r>
        <w:rPr>
          <w:rFonts w:ascii="Arial" w:cs="Arial" w:eastAsia="Arial" w:hAnsi="Arial"/>
          <w:sz w:val="18"/>
          <w:szCs w:val="18"/>
          <w:color w:val="auto"/>
          <w:vertAlign w:val="subscript"/>
        </w:rPr>
        <w:t>y</w:t>
      </w:r>
      <w:r>
        <w:rPr>
          <w:rFonts w:ascii="Arial" w:cs="Arial" w:eastAsia="Arial" w:hAnsi="Arial"/>
          <w:sz w:val="12"/>
          <w:szCs w:val="12"/>
          <w:color w:val="auto"/>
        </w:rPr>
        <w:t xml:space="preserve"> be</w:t>
      </w:r>
      <w:r>
        <w:rPr>
          <w:rFonts w:ascii="Arial" w:cs="Arial" w:eastAsia="Arial" w:hAnsi="Arial"/>
          <w:sz w:val="18"/>
          <w:szCs w:val="18"/>
          <w:color w:val="auto"/>
          <w:vertAlign w:val="subscript"/>
        </w:rPr>
        <w:t>in</w:t>
      </w:r>
      <w:r>
        <w:rPr>
          <w:rFonts w:ascii="Arial" w:cs="Arial" w:eastAsia="Arial" w:hAnsi="Arial"/>
          <w:sz w:val="12"/>
          <w:szCs w:val="12"/>
          <w:color w:val="auto"/>
        </w:rPr>
        <w:t xml:space="preserve"> advance of the meeting. Further instructions will be provided to you as part of your registration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-421005</wp:posOffset>
            </wp:positionV>
            <wp:extent cx="6810375" cy="2042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2042160"/>
                    </a:xfrm>
                    <a:prstGeom prst="rect">
                      <a:avLst/>
                    </a:prstGeom>
                    <a:noFill/>
                  </pic:spPr>
                </pic:pic>
              </a:graphicData>
            </a:graphic>
          </wp:anchor>
        </w:drawing>
      </w:r>
    </w:p>
    <w:p>
      <w:pPr>
        <w:ind w:left="140" w:right="860"/>
        <w:spacing w:after="0" w:line="254" w:lineRule="auto"/>
        <w:rPr>
          <w:sz w:val="20"/>
          <w:szCs w:val="20"/>
          <w:color w:val="auto"/>
        </w:rPr>
      </w:pPr>
      <w:r>
        <w:rPr>
          <w:rFonts w:ascii="Arial" w:cs="Arial" w:eastAsia="Arial" w:hAnsi="Arial"/>
          <w:sz w:val="20"/>
          <w:szCs w:val="20"/>
          <w:b w:val="1"/>
          <w:bCs w:val="1"/>
          <w:color w:val="auto"/>
        </w:rPr>
        <w:t>Even if you plan to attend the Annual Meeting, we recommend that you submit your proxy or voting instructions in advance of the meeting as described above so that your vote will be counted if you later decide not to attend or are unable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8391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0375" cy="839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15. CAN I CHANGE MY VOTE AFTER I RETURN MY PROXY CARD?</w:t>
      </w:r>
    </w:p>
    <w:p>
      <w:pPr>
        <w:spacing w:after="0" w:line="62" w:lineRule="exact"/>
        <w:rPr>
          <w:sz w:val="20"/>
          <w:szCs w:val="20"/>
          <w:color w:val="auto"/>
        </w:rPr>
      </w:pPr>
    </w:p>
    <w:p>
      <w:pPr>
        <w:ind w:left="140" w:right="240"/>
        <w:spacing w:after="0" w:line="243" w:lineRule="auto"/>
        <w:rPr>
          <w:sz w:val="20"/>
          <w:szCs w:val="20"/>
          <w:color w:val="auto"/>
        </w:rPr>
      </w:pPr>
      <w:r>
        <w:rPr>
          <w:rFonts w:ascii="Arial" w:cs="Arial" w:eastAsia="Arial" w:hAnsi="Arial"/>
          <w:sz w:val="20"/>
          <w:szCs w:val="20"/>
          <w:color w:val="auto"/>
        </w:rPr>
        <w:t>Yes. If you are a shareholder of record, you may revoke your proxy at any time before it is exercised in any of the following three methods:</w:t>
      </w:r>
    </w:p>
    <w:p>
      <w:pPr>
        <w:spacing w:after="0" w:line="47" w:lineRule="exact"/>
        <w:rPr>
          <w:sz w:val="20"/>
          <w:szCs w:val="20"/>
          <w:color w:val="auto"/>
        </w:rPr>
      </w:pPr>
    </w:p>
    <w:p>
      <w:pPr>
        <w:ind w:left="420" w:right="1120" w:hanging="187"/>
        <w:spacing w:after="0" w:line="234" w:lineRule="auto"/>
        <w:tabs>
          <w:tab w:leader="none" w:pos="4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by submitting written notice of revocation to Mr. Robinson at Carter’s address set forth in2025the Notice of Annual Meeting;</w:t>
      </w:r>
    </w:p>
    <w:p>
      <w:pPr>
        <w:spacing w:after="0" w:line="51" w:lineRule="exact"/>
        <w:rPr>
          <w:rFonts w:ascii="Arial" w:cs="Arial" w:eastAsia="Arial" w:hAnsi="Arial"/>
          <w:sz w:val="20"/>
          <w:szCs w:val="20"/>
          <w:color w:val="auto"/>
        </w:rPr>
      </w:pPr>
    </w:p>
    <w:p>
      <w:pPr>
        <w:ind w:left="420" w:right="680" w:hanging="187"/>
        <w:spacing w:after="0" w:line="234" w:lineRule="auto"/>
        <w:tabs>
          <w:tab w:leader="none" w:pos="4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by submitting another proxy by telephone, over the Internet, or by mail that is later dated and, if by mail, that is properly signed; or</w:t>
      </w:r>
    </w:p>
    <w:p>
      <w:pPr>
        <w:spacing w:after="0" w:line="51" w:lineRule="exact"/>
        <w:rPr>
          <w:rFonts w:ascii="Arial" w:cs="Arial" w:eastAsia="Arial" w:hAnsi="Arial"/>
          <w:sz w:val="20"/>
          <w:szCs w:val="20"/>
          <w:color w:val="auto"/>
        </w:rPr>
      </w:pPr>
    </w:p>
    <w:p>
      <w:pPr>
        <w:ind w:left="420" w:hanging="187"/>
        <w:spacing w:after="0"/>
        <w:tabs>
          <w:tab w:leader="none" w:pos="4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by voting at the virtual Annual Meeting.</w:t>
      </w:r>
    </w:p>
    <w:p>
      <w:pPr>
        <w:spacing w:after="0" w:line="175" w:lineRule="exact"/>
        <w:rPr>
          <w:sz w:val="20"/>
          <w:szCs w:val="20"/>
          <w:color w:val="auto"/>
        </w:rPr>
      </w:pPr>
    </w:p>
    <w:p>
      <w:pPr>
        <w:ind w:left="140" w:right="1240"/>
        <w:spacing w:after="0" w:line="257" w:lineRule="auto"/>
        <w:rPr>
          <w:sz w:val="20"/>
          <w:szCs w:val="20"/>
          <w:color w:val="auto"/>
        </w:rPr>
      </w:pPr>
      <w:r>
        <w:rPr>
          <w:rFonts w:ascii="Arial" w:cs="Arial" w:eastAsia="Arial" w:hAnsi="Arial"/>
          <w:sz w:val="20"/>
          <w:szCs w:val="20"/>
          <w:color w:val="auto"/>
        </w:rPr>
        <w:t>If you hold your shares through a broker or other nominee and would like to change your voting instructions, please review the directions provided to you by that broker or nominee.</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16. MAY I VOTE CONFIDENTIALLY?</w:t>
      </w:r>
    </w:p>
    <w:p>
      <w:pPr>
        <w:spacing w:after="0" w:line="103" w:lineRule="exact"/>
        <w:rPr>
          <w:sz w:val="20"/>
          <w:szCs w:val="20"/>
          <w:color w:val="auto"/>
        </w:rPr>
      </w:pPr>
    </w:p>
    <w:p>
      <w:pPr>
        <w:ind w:left="140" w:right="1040"/>
        <w:spacing w:after="0" w:line="298" w:lineRule="auto"/>
        <w:rPr>
          <w:sz w:val="20"/>
          <w:szCs w:val="20"/>
          <w:color w:val="auto"/>
        </w:rPr>
      </w:pPr>
      <w:r>
        <w:rPr>
          <w:rFonts w:ascii="Arial" w:cs="Arial" w:eastAsia="Arial" w:hAnsi="Arial"/>
          <w:sz w:val="19"/>
          <w:szCs w:val="19"/>
          <w:color w:val="auto"/>
        </w:rPr>
        <w:t>Yes. Our policy is to keep your individual votes confidential, except as appropriate to meet legal requirements, to allow for the tabulation and certification of votes, or to facilitate proxy solicitation.</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17. WHO WILL COUNT THE VOTES?</w:t>
      </w:r>
    </w:p>
    <w:p>
      <w:pPr>
        <w:spacing w:after="0" w:line="62" w:lineRule="exact"/>
        <w:rPr>
          <w:sz w:val="20"/>
          <w:szCs w:val="20"/>
          <w:color w:val="auto"/>
        </w:rPr>
      </w:pPr>
    </w:p>
    <w:p>
      <w:pPr>
        <w:ind w:left="140" w:right="580"/>
        <w:spacing w:after="0" w:line="243" w:lineRule="auto"/>
        <w:rPr>
          <w:sz w:val="20"/>
          <w:szCs w:val="20"/>
          <w:color w:val="auto"/>
        </w:rPr>
      </w:pPr>
      <w:r>
        <w:rPr>
          <w:rFonts w:ascii="Arial" w:cs="Arial" w:eastAsia="Arial" w:hAnsi="Arial"/>
          <w:sz w:val="20"/>
          <w:szCs w:val="20"/>
          <w:color w:val="auto"/>
        </w:rPr>
        <w:t>A representative of Mediant, Inc. will count the votes and act as the inspector of election for the Annual Meeting.</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21"/>
          <w:szCs w:val="21"/>
          <w:color w:val="auto"/>
        </w:rPr>
        <w:t>18. WHAT HAPPENS IF ADDITIONAL MATTERS ARE PRESENTED AT THE ANNUAL MEETING?</w:t>
      </w:r>
    </w:p>
    <w:p>
      <w:pPr>
        <w:spacing w:after="0" w:line="87" w:lineRule="exact"/>
        <w:rPr>
          <w:sz w:val="20"/>
          <w:szCs w:val="20"/>
          <w:color w:val="auto"/>
        </w:rPr>
      </w:pPr>
    </w:p>
    <w:p>
      <w:pPr>
        <w:ind w:left="140" w:right="260"/>
        <w:spacing w:after="0" w:line="245" w:lineRule="auto"/>
        <w:rPr>
          <w:sz w:val="20"/>
          <w:szCs w:val="20"/>
          <w:color w:val="auto"/>
        </w:rPr>
      </w:pPr>
      <w:r>
        <w:rPr>
          <w:rFonts w:ascii="Arial" w:cs="Arial" w:eastAsia="Arial" w:hAnsi="Arial"/>
          <w:sz w:val="20"/>
          <w:szCs w:val="20"/>
          <w:color w:val="auto"/>
        </w:rPr>
        <w:t>As of the date of this proxy statement, the Board knows of no matters other than those set forth herein that will be presented for determination at the Annual Meeting. If, however, any other matters properly come before the Annual Meeting and call for a vote of shareholders, the Board intends proxies to be voted in accordance with the judgment of the proxy holders.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19. WHERE CAN I FIND THE VOTING RESULTS OF THE ANNUAL MEETING?</w:t>
      </w:r>
    </w:p>
    <w:p>
      <w:pPr>
        <w:spacing w:after="0" w:line="62" w:lineRule="exact"/>
        <w:rPr>
          <w:sz w:val="20"/>
          <w:szCs w:val="20"/>
          <w:color w:val="auto"/>
        </w:rPr>
      </w:pPr>
    </w:p>
    <w:p>
      <w:pPr>
        <w:ind w:left="140" w:right="620"/>
        <w:spacing w:after="0" w:line="271" w:lineRule="auto"/>
        <w:rPr>
          <w:sz w:val="20"/>
          <w:szCs w:val="20"/>
          <w:color w:val="auto"/>
        </w:rPr>
      </w:pPr>
      <w:r>
        <w:rPr>
          <w:rFonts w:ascii="Arial" w:cs="Arial" w:eastAsia="Arial" w:hAnsi="Arial"/>
          <w:sz w:val="20"/>
          <w:szCs w:val="20"/>
          <w:color w:val="auto"/>
        </w:rPr>
        <w:t>We intend to announce preliminary voting results at the Annual Meeting and publish final results in our current report on Form 8-K within four business days after the Annual Meeting.</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20. WHAT IS “HOUSEHOLDING” OF THE ANNUAL MEETING MATERIALS?</w:t>
      </w:r>
    </w:p>
    <w:p>
      <w:pPr>
        <w:spacing w:after="0" w:line="62" w:lineRule="exact"/>
        <w:rPr>
          <w:sz w:val="20"/>
          <w:szCs w:val="20"/>
          <w:color w:val="auto"/>
        </w:rPr>
      </w:pPr>
    </w:p>
    <w:p>
      <w:pPr>
        <w:ind w:left="140" w:right="380"/>
        <w:spacing w:after="0" w:line="252" w:lineRule="auto"/>
        <w:rPr>
          <w:sz w:val="20"/>
          <w:szCs w:val="20"/>
          <w:color w:val="auto"/>
        </w:rPr>
      </w:pPr>
      <w:r>
        <w:rPr>
          <w:rFonts w:ascii="Arial" w:cs="Arial" w:eastAsia="Arial" w:hAnsi="Arial"/>
          <w:sz w:val="19"/>
          <w:szCs w:val="19"/>
          <w:color w:val="auto"/>
        </w:rPr>
        <w:t>The SEC has adopted rules that permit companies and intermediaries, such as brokers, to satisfy delivery requirements for proxy statements with respect to two or more shareholders sharing the same address, by delivering a single proxy statement to those shareholders. This process, which is commonly referred to as “householding,” potentially provides extra convenience for shareholders and cost savings for companies. Carter's and some brokers “household” proxy materials, delivering a single proxy statement and annual report to multiple shareholders sharing an address unless contrary instructions have been received from the affected shareholders.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Carter's if you hold shares registered directly in your name. You can notify Carter's by sending a written request to Mr. Robinson at Carter’s address set forth in the2025 Notice of Annual Meeting or by calling us at (678) 791-1000.</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21. HOW MAY I OBTAIN A COPY OF CARTER’S ANNUAL REPORT?</w:t>
      </w:r>
    </w:p>
    <w:p>
      <w:pPr>
        <w:spacing w:after="0" w:line="62" w:lineRule="exact"/>
        <w:rPr>
          <w:sz w:val="20"/>
          <w:szCs w:val="20"/>
          <w:color w:val="auto"/>
        </w:rPr>
      </w:pPr>
    </w:p>
    <w:p>
      <w:pPr>
        <w:ind w:left="140" w:right="860"/>
        <w:spacing w:after="0" w:line="244" w:lineRule="auto"/>
        <w:rPr>
          <w:sz w:val="20"/>
          <w:szCs w:val="20"/>
          <w:color w:val="auto"/>
        </w:rPr>
      </w:pPr>
      <w:r>
        <w:rPr>
          <w:rFonts w:ascii="Arial" w:cs="Arial" w:eastAsia="Arial" w:hAnsi="Arial"/>
          <w:sz w:val="20"/>
          <w:szCs w:val="20"/>
          <w:color w:val="auto"/>
        </w:rPr>
        <w:t>A copy of our fiscal 2024 Annual Report on Form 10-K (the “Annual Report”) accompanies this proxy statement and is available at https://ir.carters.com/financial-information/annual-reports. Shareholders may also obtain a free copy of our Annual Report by sending a request in writing to Mr. Robinson at Carter’s address at 3438 Peachtree Road NE, Suite 1800, Atlanta, Georgia 30326, or by calling us at (678) 791-1000.</w:t>
      </w:r>
    </w:p>
    <w:p>
      <w:pPr>
        <w:sectPr>
          <w:pgSz w:w="11900" w:h="16838" w:orient="portrait"/>
          <w:cols w:equalWidth="0" w:num="1">
            <w:col w:w="9680"/>
          </w:cols>
          <w:pgMar w:left="1440" w:top="0" w:right="779" w:bottom="123" w:gutter="0" w:footer="0" w:header="0"/>
        </w:sectPr>
      </w:pPr>
    </w:p>
    <w:bookmarkStart w:id="73" w:name="page74"/>
    <w:bookmarkEnd w:id="73"/>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48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46482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8867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46" w:orient="portrait"/>
          <w:cols w:equalWidth="0" w:num="1">
            <w:col w:w="9640"/>
          </w:cols>
          <w:pgMar w:left="1440" w:top="161"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hanging="10"/>
        <w:spacing w:after="0" w:line="236" w:lineRule="auto"/>
        <w:tabs>
          <w:tab w:leader="none" w:pos="5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HOW DO I SUBMIT A PROPOSAL OR NOMINATE A DIRECTOR CANDIDATE FOR THE 2026 ANNUAL MEETING?</w:t>
      </w:r>
    </w:p>
    <w:p>
      <w:pPr>
        <w:spacing w:after="0" w:line="47" w:lineRule="exact"/>
        <w:rPr>
          <w:sz w:val="20"/>
          <w:szCs w:val="20"/>
          <w:color w:val="auto"/>
        </w:rPr>
      </w:pPr>
    </w:p>
    <w:p>
      <w:pPr>
        <w:ind w:left="140" w:right="320"/>
        <w:spacing w:after="0" w:line="248" w:lineRule="auto"/>
        <w:rPr>
          <w:sz w:val="20"/>
          <w:szCs w:val="20"/>
          <w:color w:val="auto"/>
        </w:rPr>
      </w:pPr>
      <w:r>
        <w:rPr>
          <w:rFonts w:ascii="Arial" w:cs="Arial" w:eastAsia="Arial" w:hAnsi="Arial"/>
          <w:sz w:val="20"/>
          <w:szCs w:val="20"/>
          <w:color w:val="auto"/>
        </w:rPr>
        <w:t>Any shareholder proposals or director nominations must be submitted in writing to our Secretary c/o Carter's, Inc., 3438 Peachtree Road NE, Atlanta, Georgia 30326. Additional details for those submissions are as follows.</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Shareholder Proposals</w:t>
      </w:r>
    </w:p>
    <w:p>
      <w:pPr>
        <w:spacing w:after="0" w:line="175" w:lineRule="exact"/>
        <w:rPr>
          <w:sz w:val="20"/>
          <w:szCs w:val="20"/>
          <w:color w:val="auto"/>
        </w:rPr>
      </w:pPr>
    </w:p>
    <w:p>
      <w:pPr>
        <w:ind w:left="140" w:right="220"/>
        <w:spacing w:after="0" w:line="275" w:lineRule="auto"/>
        <w:rPr>
          <w:sz w:val="20"/>
          <w:szCs w:val="20"/>
          <w:color w:val="auto"/>
        </w:rPr>
      </w:pPr>
      <w:r>
        <w:rPr>
          <w:rFonts w:ascii="Arial" w:cs="Arial" w:eastAsia="Arial" w:hAnsi="Arial"/>
          <w:sz w:val="20"/>
          <w:szCs w:val="20"/>
          <w:color w:val="auto"/>
        </w:rPr>
        <w:t>This section relates to shareholder proposals for the 2026 Annual Meeting other than director nominations. If you wish to nominate a director candidate, please see the section that follows under the heading “Nomination of Director Candidates”. The deadlines and requirements for submitting a shareholder proposal depend on whether the shareholder seeks to have the proposal included in the 2026 Proxy Statement using Rule 14a-8 under the Exchange Act:</w:t>
      </w:r>
    </w:p>
    <w:p>
      <w:pPr>
        <w:spacing w:after="0" w:line="111" w:lineRule="exact"/>
        <w:rPr>
          <w:sz w:val="20"/>
          <w:szCs w:val="20"/>
          <w:color w:val="auto"/>
        </w:rPr>
      </w:pPr>
    </w:p>
    <w:p>
      <w:pPr>
        <w:ind w:left="860" w:right="300" w:hanging="325"/>
        <w:spacing w:after="0" w:line="271" w:lineRule="auto"/>
        <w:tabs>
          <w:tab w:leader="none" w:pos="860"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Proposals of Business Not Using Rule 14a</w:t>
      </w:r>
      <w:r>
        <w:rPr>
          <w:rFonts w:ascii="Arial" w:cs="Arial" w:eastAsia="Arial" w:hAnsi="Arial"/>
          <w:sz w:val="20"/>
          <w:szCs w:val="20"/>
          <w:color w:val="auto"/>
        </w:rPr>
        <w:t>:Under</w:t>
      </w:r>
      <w:r>
        <w:rPr>
          <w:rFonts w:ascii="Arial" w:cs="Arial" w:eastAsia="Arial" w:hAnsi="Arial"/>
          <w:sz w:val="20"/>
          <w:szCs w:val="20"/>
          <w:b w:val="1"/>
          <w:bCs w:val="1"/>
          <w:color w:val="auto"/>
        </w:rPr>
        <w:t xml:space="preserve">-8 </w:t>
      </w:r>
      <w:r>
        <w:rPr>
          <w:rFonts w:ascii="Arial" w:cs="Arial" w:eastAsia="Arial" w:hAnsi="Arial"/>
          <w:sz w:val="20"/>
          <w:szCs w:val="20"/>
          <w:color w:val="auto"/>
        </w:rPr>
        <w:t>our Bylaws, if a shareholder wants to</w:t>
      </w:r>
      <w:r>
        <w:rPr>
          <w:rFonts w:ascii="Arial" w:cs="Arial" w:eastAsia="Arial" w:hAnsi="Arial"/>
          <w:sz w:val="20"/>
          <w:szCs w:val="20"/>
          <w:b w:val="1"/>
          <w:bCs w:val="1"/>
          <w:color w:val="auto"/>
        </w:rPr>
        <w:t xml:space="preserve"> </w:t>
      </w:r>
      <w:r>
        <w:rPr>
          <w:rFonts w:ascii="Arial" w:cs="Arial" w:eastAsia="Arial" w:hAnsi="Arial"/>
          <w:sz w:val="20"/>
          <w:szCs w:val="20"/>
          <w:color w:val="auto"/>
        </w:rPr>
        <w:t>propose an item of business to be considered at the 2026 Annual Meeting, the shareholder must give advance written notice to our Secretary, which must be received no earlier than the close of business on January 14, 2026, and no later than the close of business on February 13, 2026. If, however, our 2026 Annual Meeting is held more than 30 days before or after May 14, 2026 (the one-year anniversary of our 2025 Annual Meeting), the notice must be received no earlier than the close of business on the 120th day before such annual meeting and no later than the close of business on the later of (1) the 90th day before such annual meeting or (2) the tenth day following the date on which the public announcement of the date of such meeting is first made by Carter's. The advance written notice must comply with all applicable statutes and regulations, as well as certain other provisions contained in our Bylaws, which generally require the shareholder to provide a brief description of the proposed business, reasons for proposing the business, and certain information about the shareholder and Carter's securities held by the shareholder.</w:t>
      </w:r>
    </w:p>
    <w:p>
      <w:pPr>
        <w:spacing w:after="0" w:line="117" w:lineRule="exact"/>
        <w:rPr>
          <w:rFonts w:ascii="Arial" w:cs="Arial" w:eastAsia="Arial" w:hAnsi="Arial"/>
          <w:sz w:val="20"/>
          <w:szCs w:val="20"/>
          <w:color w:val="auto"/>
        </w:rPr>
      </w:pPr>
    </w:p>
    <w:p>
      <w:pPr>
        <w:ind w:left="860" w:right="460" w:hanging="325"/>
        <w:spacing w:after="0" w:line="279" w:lineRule="auto"/>
        <w:tabs>
          <w:tab w:leader="none" w:pos="860"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Proposals of Business Using Rule 14a</w:t>
      </w:r>
      <w:r>
        <w:rPr>
          <w:rFonts w:ascii="Arial" w:cs="Arial" w:eastAsia="Arial" w:hAnsi="Arial"/>
          <w:sz w:val="20"/>
          <w:szCs w:val="20"/>
          <w:color w:val="auto"/>
        </w:rPr>
        <w:t>:A</w:t>
      </w:r>
      <w:r>
        <w:rPr>
          <w:rFonts w:ascii="Arial" w:cs="Arial" w:eastAsia="Arial" w:hAnsi="Arial"/>
          <w:sz w:val="20"/>
          <w:szCs w:val="20"/>
          <w:b w:val="1"/>
          <w:bCs w:val="1"/>
          <w:color w:val="auto"/>
        </w:rPr>
        <w:t>-8</w:t>
      </w:r>
      <w:r>
        <w:rPr>
          <w:rFonts w:ascii="Arial" w:cs="Arial" w:eastAsia="Arial" w:hAnsi="Arial"/>
          <w:sz w:val="20"/>
          <w:szCs w:val="20"/>
          <w:color w:val="auto"/>
        </w:rPr>
        <w:t>shareholder who wants to propose an item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to be included in our 2026 Proxy Statement using Rule 14a-8 must follow the procedures provided in Rule 14a-8. In addition, the proposal must be received by our Secretary by December 3, 2025.</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123054"/>
        </w:rPr>
        <w:t>Nomination of Director Candidates</w:t>
      </w:r>
    </w:p>
    <w:p>
      <w:pPr>
        <w:spacing w:after="0" w:line="135" w:lineRule="exact"/>
        <w:rPr>
          <w:sz w:val="20"/>
          <w:szCs w:val="20"/>
          <w:color w:val="auto"/>
        </w:rPr>
      </w:pPr>
    </w:p>
    <w:p>
      <w:pPr>
        <w:ind w:left="140" w:right="660"/>
        <w:spacing w:after="0" w:line="300" w:lineRule="auto"/>
        <w:rPr>
          <w:sz w:val="20"/>
          <w:szCs w:val="20"/>
          <w:color w:val="auto"/>
        </w:rPr>
      </w:pPr>
      <w:r>
        <w:rPr>
          <w:rFonts w:ascii="Arial" w:cs="Arial" w:eastAsia="Arial" w:hAnsi="Arial"/>
          <w:sz w:val="20"/>
          <w:szCs w:val="20"/>
          <w:color w:val="auto"/>
        </w:rPr>
        <w:t>This section relates to nomination of director candidates. The deadlines and requirements for director candidates recommended for consideration or nominated by a shareholder are as follows:</w:t>
      </w:r>
    </w:p>
    <w:p>
      <w:pPr>
        <w:spacing w:after="0" w:line="85" w:lineRule="exact"/>
        <w:rPr>
          <w:sz w:val="20"/>
          <w:szCs w:val="20"/>
          <w:color w:val="auto"/>
        </w:rPr>
      </w:pPr>
    </w:p>
    <w:p>
      <w:pPr>
        <w:ind w:left="860" w:right="580" w:hanging="325"/>
        <w:spacing w:after="0" w:line="294" w:lineRule="auto"/>
        <w:tabs>
          <w:tab w:leader="none" w:pos="860"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Recommending a Candidate for Nominating &amp; Corporate Governance Committee Consideration</w:t>
      </w:r>
      <w:r>
        <w:rPr>
          <w:rFonts w:ascii="Arial" w:cs="Arial" w:eastAsia="Arial" w:hAnsi="Arial"/>
          <w:sz w:val="19"/>
          <w:szCs w:val="19"/>
          <w:color w:val="auto"/>
        </w:rPr>
        <w:t>: Any shareholder who wishes to recommend a candidate for our Nominating &amp;</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Governance committee to consider nominating as a director at the 2026 Annual Meeting should submit a written request and related information to our Secretary no later than December 31, 2025, in order to allow for sufficient time to consider the recommendation.</w:t>
      </w:r>
    </w:p>
    <w:p>
      <w:pPr>
        <w:spacing w:after="0" w:line="92" w:lineRule="exact"/>
        <w:rPr>
          <w:rFonts w:ascii="Arial" w:cs="Arial" w:eastAsia="Arial" w:hAnsi="Arial"/>
          <w:sz w:val="19"/>
          <w:szCs w:val="19"/>
          <w:color w:val="auto"/>
        </w:rPr>
      </w:pPr>
    </w:p>
    <w:p>
      <w:pPr>
        <w:ind w:left="860" w:right="80" w:hanging="325"/>
        <w:spacing w:after="0" w:line="294" w:lineRule="auto"/>
        <w:tabs>
          <w:tab w:leader="none" w:pos="860"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Directly Nominating a Director Candidate Under our Bylaws</w:t>
      </w:r>
      <w:r>
        <w:rPr>
          <w:rFonts w:ascii="Arial" w:cs="Arial" w:eastAsia="Arial" w:hAnsi="Arial"/>
          <w:sz w:val="19"/>
          <w:szCs w:val="19"/>
          <w:color w:val="auto"/>
        </w:rPr>
        <w:t>:Under our Bylaws, if a</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plans to directly nominate a person as a director at the 2026 Annual Meeting, the shareholder must give advance written notice of the director nomination to our Secretary, which must be received no earlier than the close of business on January 14, 2026, and no later than the close of business on February 13, 2026. If, however, our 2026 Annual Meeting is held more than 30</w:t>
      </w:r>
    </w:p>
    <w:p>
      <w:pPr>
        <w:spacing w:after="0" w:line="39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401320</wp:posOffset>
            </wp:positionV>
            <wp:extent cx="6810375" cy="1019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1019175"/>
                    </a:xfrm>
                    <a:prstGeom prst="rect">
                      <a:avLst/>
                    </a:prstGeom>
                    <a:noFill/>
                  </pic:spPr>
                </pic:pic>
              </a:graphicData>
            </a:graphic>
          </wp:anchor>
        </w:drawing>
      </w:r>
    </w:p>
    <w:p>
      <w:pPr>
        <w:sectPr>
          <w:pgSz w:w="11900" w:h="16846" w:orient="portrait"/>
          <w:cols w:equalWidth="0" w:num="1">
            <w:col w:w="9640"/>
          </w:cols>
          <w:pgMar w:left="1440" w:top="161" w:right="8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0" w:right="200"/>
        <w:spacing w:after="0" w:line="328" w:lineRule="auto"/>
        <w:rPr>
          <w:sz w:val="20"/>
          <w:szCs w:val="20"/>
          <w:color w:val="auto"/>
        </w:rPr>
      </w:pPr>
      <w:r>
        <w:rPr>
          <w:rFonts w:ascii="Arial" w:cs="Arial" w:eastAsia="Arial" w:hAnsi="Arial"/>
          <w:sz w:val="19"/>
          <w:szCs w:val="19"/>
          <w:color w:val="auto"/>
        </w:rPr>
        <w:t>days before or after May 14, 2026 (the one-year anniversary of our 2025 Annual Meeting), the notice must be received no earlier than the close of business on the 120th day before such annual</w:t>
      </w:r>
    </w:p>
    <w:p>
      <w:pPr>
        <w:sectPr>
          <w:pgSz w:w="11900" w:h="16846" w:orient="portrait"/>
          <w:cols w:equalWidth="0" w:num="1">
            <w:col w:w="9640"/>
          </w:cols>
          <w:pgMar w:left="1440" w:top="161" w:right="819" w:bottom="0" w:gutter="0" w:footer="0" w:header="0"/>
          <w:type w:val="continuous"/>
        </w:sectPr>
      </w:pPr>
    </w:p>
    <w:bookmarkStart w:id="74" w:name="page75"/>
    <w:bookmarkEnd w:id="74"/>
    <w:p>
      <w:pPr>
        <w:ind w:left="1200" w:right="260"/>
        <w:spacing w:after="0" w:line="218" w:lineRule="auto"/>
        <w:rPr>
          <w:sz w:val="20"/>
          <w:szCs w:val="20"/>
          <w:color w:val="auto"/>
        </w:rPr>
      </w:pPr>
      <w:r>
        <w:rPr>
          <w:rFonts w:ascii="Arial" w:cs="Arial" w:eastAsia="Arial" w:hAnsi="Arial"/>
          <w:sz w:val="19"/>
          <w:szCs w:val="19"/>
          <w:color w:val="auto"/>
        </w:rPr>
        <w:t>meeting and no later than the close of business on the later of (1) the 90th day before such annual meeting or (2) the tenth day following the date on which the public announcement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-228600</wp:posOffset>
            </wp:positionV>
            <wp:extent cx="6810375" cy="78371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7837170"/>
                    </a:xfrm>
                    <a:prstGeom prst="rect">
                      <a:avLst/>
                    </a:prstGeom>
                    <a:noFill/>
                  </pic:spPr>
                </pic:pic>
              </a:graphicData>
            </a:graphic>
          </wp:anchor>
        </w:drawing>
      </w:r>
    </w:p>
    <w:p>
      <w:pPr>
        <w:ind w:left="1200" w:right="200"/>
        <w:spacing w:after="0" w:line="273" w:lineRule="auto"/>
        <w:rPr>
          <w:sz w:val="20"/>
          <w:szCs w:val="20"/>
          <w:color w:val="auto"/>
        </w:rPr>
      </w:pPr>
      <w:r>
        <w:rPr>
          <w:rFonts w:ascii="Arial" w:cs="Arial" w:eastAsia="Arial" w:hAnsi="Arial"/>
          <w:sz w:val="20"/>
          <w:szCs w:val="20"/>
          <w:color w:val="auto"/>
        </w:rPr>
        <w:t>date of such meeting is first made by Carter's. The notice must comply with all applicable statutes and regulations, as well as certain other provisions contained in our Bylaws, which generally require the shareholder to provide certain information about the proposed nominee, the shareholder, and Carter's securities held by the shareholder, the nominee, and associated persons. In addition to satisfying those advance notice and other requirements in our Bylaws within the window set forth above, any shareholder who intends to solicit proxies in support of director nominees other than the Board’s nominees must comply with the Universal Proxy Rules set forth in Rule 14a-19 under the Exchange Act.</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23. WHAT DO YOU MEAN BY FISCAL YEARS IN THIS PROXY STATEMENT?</w:t>
      </w:r>
    </w:p>
    <w:p>
      <w:pPr>
        <w:spacing w:after="0" w:line="62" w:lineRule="exact"/>
        <w:rPr>
          <w:sz w:val="20"/>
          <w:szCs w:val="20"/>
          <w:color w:val="auto"/>
        </w:rPr>
      </w:pPr>
    </w:p>
    <w:p>
      <w:pPr>
        <w:ind w:left="480"/>
        <w:spacing w:after="0" w:line="244" w:lineRule="auto"/>
        <w:rPr>
          <w:sz w:val="20"/>
          <w:szCs w:val="20"/>
          <w:color w:val="auto"/>
        </w:rPr>
      </w:pPr>
      <w:r>
        <w:rPr>
          <w:rFonts w:ascii="Arial" w:cs="Arial" w:eastAsia="Arial" w:hAnsi="Arial"/>
          <w:sz w:val="20"/>
          <w:szCs w:val="20"/>
          <w:color w:val="auto"/>
        </w:rPr>
        <w:t>Our fiscal year ends on the Saturday, in December or January, nearest the last day of December, resulting in an additional week of results every five or six years. Fiscal 2024 (which ended on December 28, 2024), Fiscal 2023 (which ended on December 30, 2023), Fiscal 2022 (which ended on December 31, 2022), and Fiscal 2021 (which ended on January 1, 2022) contained 52 weeks. Fiscal 2025 (which will end on December 27, 2025) contains 53 weeks.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24. WHO CAN HELP ANSWER MY QUESTIONS?</w:t>
      </w:r>
    </w:p>
    <w:p>
      <w:pPr>
        <w:spacing w:after="0" w:line="76" w:lineRule="exact"/>
        <w:rPr>
          <w:sz w:val="20"/>
          <w:szCs w:val="20"/>
          <w:color w:val="auto"/>
        </w:rPr>
      </w:pPr>
    </w:p>
    <w:p>
      <w:pPr>
        <w:ind w:left="480" w:right="780"/>
        <w:spacing w:after="0" w:line="268" w:lineRule="auto"/>
        <w:rPr>
          <w:sz w:val="20"/>
          <w:szCs w:val="20"/>
          <w:color w:val="auto"/>
        </w:rPr>
      </w:pPr>
      <w:r>
        <w:rPr>
          <w:rFonts w:ascii="Arial" w:cs="Arial" w:eastAsia="Arial" w:hAnsi="Arial"/>
          <w:sz w:val="19"/>
          <w:szCs w:val="19"/>
          <w:color w:val="auto"/>
        </w:rPr>
        <w:t>If you have any questions about the Annual Meeting or how to submit or revoke your proxy, or to request an invitation to the Annual Meeting (which is being held virtually), contact Mr. Robinson at Carter’s address set forth in the2025 Notice of Annual Meeting or by calling us at (678) 791-1000.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401320</wp:posOffset>
            </wp:positionV>
            <wp:extent cx="6810375" cy="2596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123054"/>
        </w:rPr>
        <w:t>APPENDIX</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123054"/>
        </w:rPr>
        <w:t>RECONCILIATION OF NON-GAAP FINANCIAL MEASURES TO GAAP MEASURES</w:t>
      </w:r>
    </w:p>
    <w:p>
      <w:pPr>
        <w:spacing w:after="0" w:line="207"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We have provided non-GAAP adjusted operating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and diluted net income per common share, respectively. Adjusted operating income and diluted net income per common share should not be considered in isolation or as a substitute for analysis of our results as reported in accordance with GAAP. Other companies may calculate adjusted operating income and diluted net income per common share differently than we do, limiting the usefulness of the measure for comparisons with other companies.</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Fiscal Year Ended</w:t>
      </w:r>
    </w:p>
    <w:p>
      <w:pPr>
        <w:sectPr>
          <w:pgSz w:w="11900" w:h="16838" w:orient="portrait"/>
          <w:cols w:equalWidth="0" w:num="1">
            <w:col w:w="9780"/>
          </w:cols>
          <w:pgMar w:left="1100" w:top="104" w:right="1019" w:bottom="0" w:gutter="0" w:footer="0" w:header="0"/>
        </w:sectPr>
      </w:pPr>
    </w:p>
    <w:p>
      <w:pPr>
        <w:spacing w:after="0" w:line="66" w:lineRule="exact"/>
        <w:rPr>
          <w:sz w:val="20"/>
          <w:szCs w:val="20"/>
          <w:color w:val="auto"/>
        </w:rPr>
      </w:pPr>
    </w:p>
    <w:p>
      <w:pPr>
        <w:ind w:left="8900"/>
        <w:spacing w:after="0"/>
        <w:rPr>
          <w:sz w:val="20"/>
          <w:szCs w:val="20"/>
          <w:color w:val="auto"/>
        </w:rPr>
      </w:pPr>
      <w:r>
        <w:rPr>
          <w:rFonts w:ascii="Arial" w:cs="Arial" w:eastAsia="Arial" w:hAnsi="Arial"/>
          <w:sz w:val="7"/>
          <w:szCs w:val="7"/>
          <w:b w:val="1"/>
          <w:bCs w:val="1"/>
          <w:color w:val="auto"/>
        </w:rPr>
        <w:t>(*)</w:t>
      </w:r>
    </w:p>
    <w:p>
      <w:pPr>
        <w:sectPr>
          <w:pgSz w:w="11900" w:h="16838" w:orient="portrait"/>
          <w:cols w:equalWidth="0" w:num="1">
            <w:col w:w="9780"/>
          </w:cols>
          <w:pgMar w:left="1100" w:top="104" w:right="1019" w:bottom="0" w:gutter="0" w:footer="0" w:header="0"/>
          <w:type w:val="continuous"/>
        </w:sectPr>
      </w:pPr>
    </w:p>
    <w:bookmarkStart w:id="75" w:name="page76"/>
    <w:bookmarkEnd w:id="75"/>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December 28, 2024</w:t>
            </w:r>
          </w:p>
        </w:tc>
        <w:tc>
          <w:tcPr>
            <w:tcW w:w="140" w:type="dxa"/>
            <w:vAlign w:val="bottom"/>
          </w:tcPr>
          <w:p>
            <w:pPr>
              <w:spacing w:after="0"/>
              <w:rPr>
                <w:sz w:val="14"/>
                <w:szCs w:val="1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30, 2023</w:t>
            </w:r>
          </w:p>
        </w:tc>
        <w:tc>
          <w:tcPr>
            <w:tcW w:w="120" w:type="dxa"/>
            <w:vAlign w:val="bottom"/>
          </w:tcPr>
          <w:p>
            <w:pPr>
              <w:spacing w:after="0"/>
              <w:rPr>
                <w:sz w:val="14"/>
                <w:szCs w:val="14"/>
                <w:color w:val="auto"/>
              </w:rPr>
            </w:pPr>
          </w:p>
        </w:tc>
        <w:tc>
          <w:tcPr>
            <w:tcW w:w="158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4"/>
                <w:szCs w:val="14"/>
                <w:color w:val="auto"/>
              </w:rPr>
            </w:pPr>
          </w:p>
        </w:tc>
        <w:tc>
          <w:tcPr>
            <w:tcW w:w="1560" w:type="dxa"/>
            <w:vAlign w:val="bottom"/>
            <w:gridSpan w:val="5"/>
          </w:tcPr>
          <w:p>
            <w:pPr>
              <w:ind w:left="140"/>
              <w:spacing w:after="0"/>
              <w:rPr>
                <w:sz w:val="20"/>
                <w:szCs w:val="20"/>
                <w:color w:val="auto"/>
              </w:rPr>
            </w:pPr>
            <w:r>
              <w:rPr>
                <w:rFonts w:ascii="Arial" w:cs="Arial" w:eastAsia="Arial" w:hAnsi="Arial"/>
                <w:sz w:val="14"/>
                <w:szCs w:val="14"/>
                <w:b w:val="1"/>
                <w:bCs w:val="1"/>
                <w:color w:val="auto"/>
              </w:rPr>
              <w:t>January 1, 2022</w:t>
            </w:r>
          </w:p>
        </w:tc>
        <w:tc>
          <w:tcPr>
            <w:tcW w:w="140" w:type="dxa"/>
            <w:vAlign w:val="bottom"/>
          </w:tcPr>
          <w:p>
            <w:pPr>
              <w:spacing w:after="0"/>
              <w:rPr>
                <w:sz w:val="14"/>
                <w:szCs w:val="14"/>
                <w:color w:val="auto"/>
              </w:rPr>
            </w:pPr>
          </w:p>
        </w:tc>
        <w:tc>
          <w:tcPr>
            <w:tcW w:w="13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center"/>
              <w:ind w:right="209"/>
              <w:spacing w:after="0" w:line="108" w:lineRule="exact"/>
              <w:rPr>
                <w:sz w:val="20"/>
                <w:szCs w:val="20"/>
                <w:color w:val="auto"/>
              </w:rPr>
            </w:pPr>
            <w:r>
              <w:rPr>
                <w:rFonts w:ascii="Arial" w:cs="Arial" w:eastAsia="Arial" w:hAnsi="Arial"/>
                <w:sz w:val="12"/>
                <w:szCs w:val="12"/>
                <w:b w:val="1"/>
                <w:bCs w:val="1"/>
                <w:color w:val="auto"/>
              </w:rPr>
              <w:t>Diluted</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center"/>
              <w:ind w:right="260"/>
              <w:spacing w:after="0" w:line="108" w:lineRule="exact"/>
              <w:rPr>
                <w:sz w:val="20"/>
                <w:szCs w:val="20"/>
                <w:color w:val="auto"/>
              </w:rPr>
            </w:pPr>
            <w:r>
              <w:rPr>
                <w:rFonts w:ascii="Arial" w:cs="Arial" w:eastAsia="Arial" w:hAnsi="Arial"/>
                <w:sz w:val="12"/>
                <w:szCs w:val="12"/>
                <w:b w:val="1"/>
                <w:bCs w:val="1"/>
                <w:color w:val="auto"/>
              </w:rPr>
              <w:t>Diluted</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jc w:val="center"/>
              <w:ind w:right="100"/>
              <w:spacing w:after="0" w:line="108" w:lineRule="exact"/>
              <w:rPr>
                <w:sz w:val="20"/>
                <w:szCs w:val="20"/>
                <w:color w:val="auto"/>
              </w:rPr>
            </w:pPr>
            <w:r>
              <w:rPr>
                <w:rFonts w:ascii="Arial" w:cs="Arial" w:eastAsia="Arial" w:hAnsi="Arial"/>
                <w:sz w:val="12"/>
                <w:szCs w:val="12"/>
                <w:b w:val="1"/>
                <w:bCs w:val="1"/>
                <w:color w:val="auto"/>
              </w:rPr>
              <w:t>Diluted</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center"/>
              <w:spacing w:after="0" w:line="108" w:lineRule="exact"/>
              <w:rPr>
                <w:sz w:val="20"/>
                <w:szCs w:val="20"/>
                <w:color w:val="auto"/>
              </w:rPr>
            </w:pPr>
            <w:r>
              <w:rPr>
                <w:rFonts w:ascii="Arial" w:cs="Arial" w:eastAsia="Arial" w:hAnsi="Arial"/>
                <w:sz w:val="12"/>
                <w:szCs w:val="12"/>
                <w:b w:val="1"/>
                <w:bCs w:val="1"/>
                <w:color w:val="auto"/>
              </w:rPr>
              <w:t>Diluted</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rPr>
              <w:t>Diluted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8"/>
              <w:spacing w:after="0" w:line="126" w:lineRule="exact"/>
              <w:rPr>
                <w:sz w:val="20"/>
                <w:szCs w:val="20"/>
                <w:color w:val="auto"/>
              </w:rPr>
            </w:pPr>
            <w:r>
              <w:rPr>
                <w:rFonts w:ascii="Arial" w:cs="Arial" w:eastAsia="Arial" w:hAnsi="Arial"/>
                <w:sz w:val="14"/>
                <w:szCs w:val="14"/>
                <w:b w:val="1"/>
                <w:bCs w:val="1"/>
                <w:color w:val="auto"/>
              </w:rPr>
              <w:t>Net</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49"/>
              <w:spacing w:after="0" w:line="126" w:lineRule="exact"/>
              <w:rPr>
                <w:sz w:val="20"/>
                <w:szCs w:val="20"/>
                <w:color w:val="auto"/>
              </w:rPr>
            </w:pPr>
            <w:r>
              <w:rPr>
                <w:rFonts w:ascii="Arial" w:cs="Arial" w:eastAsia="Arial" w:hAnsi="Arial"/>
                <w:sz w:val="14"/>
                <w:szCs w:val="14"/>
                <w:b w:val="1"/>
                <w:bCs w:val="1"/>
                <w:color w:val="auto"/>
              </w:rPr>
              <w:t>Income</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49"/>
              <w:spacing w:after="0" w:line="126" w:lineRule="exact"/>
              <w:rPr>
                <w:sz w:val="20"/>
                <w:szCs w:val="20"/>
                <w:color w:val="auto"/>
              </w:rPr>
            </w:pPr>
            <w:r>
              <w:rPr>
                <w:rFonts w:ascii="Arial" w:cs="Arial" w:eastAsia="Arial" w:hAnsi="Arial"/>
                <w:sz w:val="14"/>
                <w:szCs w:val="14"/>
                <w:b w:val="1"/>
                <w:bCs w:val="1"/>
                <w:color w:val="auto"/>
              </w:rPr>
              <w:t>Income</w:t>
            </w:r>
          </w:p>
        </w:tc>
        <w:tc>
          <w:tcPr>
            <w:tcW w:w="70" w:type="dxa"/>
            <w:vAlign w:val="bottom"/>
          </w:tcPr>
          <w:p>
            <w:pPr>
              <w:spacing w:after="0"/>
              <w:rPr>
                <w:sz w:val="10"/>
                <w:szCs w:val="10"/>
                <w:color w:val="auto"/>
              </w:rPr>
            </w:pPr>
          </w:p>
        </w:tc>
        <w:tc>
          <w:tcPr>
            <w:tcW w:w="7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right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5"/>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per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149"/>
              <w:spacing w:after="0"/>
              <w:rPr>
                <w:sz w:val="20"/>
                <w:szCs w:val="20"/>
                <w:color w:val="auto"/>
              </w:rPr>
            </w:pPr>
            <w:r>
              <w:rPr>
                <w:rFonts w:ascii="Arial" w:cs="Arial" w:eastAsia="Arial" w:hAnsi="Arial"/>
                <w:sz w:val="14"/>
                <w:szCs w:val="14"/>
                <w:b w:val="1"/>
                <w:bCs w:val="1"/>
                <w:color w:val="auto"/>
              </w:rPr>
              <w:t>per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rPr>
              <w:t>per</w:t>
            </w: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center"/>
              <w:ind w:right="88"/>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62"/>
        </w:trPr>
        <w:tc>
          <w:tcPr>
            <w:tcW w:w="1820" w:type="dxa"/>
            <w:vAlign w:val="bottom"/>
            <w:gridSpan w:val="4"/>
          </w:tcPr>
          <w:p>
            <w:pPr>
              <w:ind w:left="60"/>
              <w:spacing w:after="0"/>
              <w:rPr>
                <w:sz w:val="20"/>
                <w:szCs w:val="20"/>
                <w:color w:val="auto"/>
              </w:rPr>
            </w:pPr>
            <w:r>
              <w:rPr>
                <w:rFonts w:ascii="Arial" w:cs="Arial" w:eastAsia="Arial" w:hAnsi="Arial"/>
                <w:sz w:val="14"/>
                <w:szCs w:val="14"/>
                <w:color w:val="auto"/>
              </w:rPr>
              <w:t xml:space="preserve">except earnings </w:t>
            </w:r>
            <w:r>
              <w:rPr>
                <w:rFonts w:ascii="Arial" w:cs="Arial" w:eastAsia="Arial" w:hAnsi="Arial"/>
                <w:sz w:val="14"/>
                <w:szCs w:val="14"/>
                <w:b w:val="1"/>
                <w:bCs w:val="1"/>
                <w:color w:val="auto"/>
              </w:rPr>
              <w:t>Operating</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8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w:t>
            </w:r>
          </w:p>
        </w:tc>
        <w:tc>
          <w:tcPr>
            <w:tcW w:w="85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w:t>
            </w:r>
          </w:p>
        </w:tc>
        <w:tc>
          <w:tcPr>
            <w:tcW w:w="7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w:t>
            </w:r>
          </w:p>
        </w:tc>
        <w:tc>
          <w:tcPr>
            <w:tcW w:w="8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96"/>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rPr>
              <w:t>Share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7"/>
                <w:szCs w:val="17"/>
                <w:color w:val="auto"/>
              </w:rPr>
            </w:pPr>
          </w:p>
        </w:tc>
        <w:tc>
          <w:tcPr>
            <w:tcW w:w="700" w:type="dxa"/>
            <w:vAlign w:val="bottom"/>
            <w:tcBorders>
              <w:right w:val="single" w:sz="8" w:color="auto"/>
            </w:tcBorders>
            <w:gridSpan w:val="2"/>
          </w:tcPr>
          <w:p>
            <w:pPr>
              <w:jc w:val="center"/>
              <w:ind w:right="129"/>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7"/>
                <w:szCs w:val="17"/>
                <w:color w:val="auto"/>
              </w:rPr>
            </w:pPr>
          </w:p>
        </w:tc>
        <w:tc>
          <w:tcPr>
            <w:tcW w:w="69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rPr>
              <w:t>Share</w:t>
            </w: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7"/>
                <w:szCs w:val="17"/>
                <w:color w:val="auto"/>
              </w:rPr>
            </w:pPr>
          </w:p>
        </w:tc>
        <w:tc>
          <w:tcPr>
            <w:tcW w:w="64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7"/>
                <w:szCs w:val="17"/>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5"/>
        </w:trPr>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254.7</w:t>
            </w:r>
          </w:p>
        </w:tc>
        <w:tc>
          <w:tcPr>
            <w:tcW w:w="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323.4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379.2</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6.34</w:t>
            </w: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497.1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7.81</w:t>
            </w:r>
          </w:p>
        </w:tc>
        <w:tc>
          <w:tcPr>
            <w:tcW w:w="6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189.9</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29"/>
        </w:trPr>
        <w:tc>
          <w:tcPr>
            <w:tcW w:w="104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DBDBDB"/>
              <w:right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DBDBDB"/>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 w:type="dxa"/>
            <w:vAlign w:val="bottom"/>
            <w:tcBorders>
              <w:bottom w:val="single" w:sz="8" w:color="DBDBDB"/>
            </w:tcBorders>
          </w:tcPr>
          <w:p>
            <w:pPr>
              <w:spacing w:after="0"/>
              <w:rPr>
                <w:sz w:val="2"/>
                <w:szCs w:val="2"/>
                <w:color w:val="auto"/>
              </w:rPr>
            </w:pPr>
          </w:p>
        </w:tc>
        <w:tc>
          <w:tcPr>
            <w:tcW w:w="7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DBDBDB"/>
          </w:tcPr>
          <w:p>
            <w:pPr>
              <w:ind w:left="60"/>
              <w:spacing w:after="0"/>
              <w:rPr>
                <w:sz w:val="20"/>
                <w:szCs w:val="20"/>
                <w:color w:val="auto"/>
              </w:rPr>
            </w:pPr>
            <w:r>
              <w:rPr>
                <w:rFonts w:ascii="Arial" w:cs="Arial" w:eastAsia="Arial" w:hAnsi="Arial"/>
                <w:sz w:val="14"/>
                <w:szCs w:val="14"/>
                <w:color w:val="auto"/>
              </w:rPr>
              <w:t>Organizational</w:t>
            </w:r>
          </w:p>
        </w:tc>
        <w:tc>
          <w:tcPr>
            <w:tcW w:w="10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80" w:type="dxa"/>
            <w:vAlign w:val="bottom"/>
            <w:tcBorders>
              <w:right w:val="single" w:sz="8" w:color="auto"/>
            </w:tcBorders>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80" w:type="dxa"/>
            <w:vAlign w:val="bottom"/>
            <w:tcBorders>
              <w:right w:val="single" w:sz="8" w:color="auto"/>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70" w:type="dxa"/>
            <w:vAlign w:val="bottom"/>
            <w:shd w:val="clear" w:color="auto" w:fill="DBDBDB"/>
          </w:tcPr>
          <w:p>
            <w:pPr>
              <w:spacing w:after="0"/>
              <w:rPr>
                <w:sz w:val="14"/>
                <w:szCs w:val="14"/>
                <w:color w:val="auto"/>
              </w:rPr>
            </w:pPr>
          </w:p>
        </w:tc>
        <w:tc>
          <w:tcPr>
            <w:tcW w:w="7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40" w:type="dxa"/>
            <w:vAlign w:val="bottom"/>
            <w:tcBorders>
              <w:right w:val="single" w:sz="8" w:color="auto"/>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080" w:type="dxa"/>
            <w:vAlign w:val="bottom"/>
            <w:gridSpan w:val="2"/>
            <w:shd w:val="clear" w:color="auto" w:fill="DBDBDB"/>
          </w:tcPr>
          <w:p>
            <w:pPr>
              <w:ind w:left="60"/>
              <w:spacing w:after="0" w:line="201" w:lineRule="exact"/>
              <w:rPr>
                <w:sz w:val="20"/>
                <w:szCs w:val="20"/>
                <w:color w:val="auto"/>
              </w:rPr>
            </w:pPr>
            <w:r>
              <w:rPr>
                <w:rFonts w:ascii="Arial" w:cs="Arial" w:eastAsia="Arial" w:hAnsi="Arial"/>
                <w:sz w:val="14"/>
                <w:szCs w:val="14"/>
                <w:color w:val="auto"/>
              </w:rPr>
              <w:t xml:space="preserve">restructuring </w:t>
            </w:r>
            <w:r>
              <w:rPr>
                <w:rFonts w:ascii="Arial" w:cs="Arial" w:eastAsia="Arial" w:hAnsi="Arial"/>
                <w:sz w:val="18"/>
                <w:szCs w:val="18"/>
                <w:color w:val="auto"/>
                <w:vertAlign w:val="superscript"/>
              </w:rPr>
              <w:t>(1)</w:t>
            </w: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right w:val="single" w:sz="8" w:color="auto"/>
            </w:tcBorders>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gridSpan w:val="2"/>
            <w:shd w:val="clear" w:color="auto" w:fill="DBDBDB"/>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7"/>
                <w:szCs w:val="17"/>
                <w:color w:val="auto"/>
              </w:rPr>
            </w:pPr>
          </w:p>
        </w:tc>
        <w:tc>
          <w:tcPr>
            <w:tcW w:w="690" w:type="dxa"/>
            <w:vAlign w:val="bottom"/>
            <w:gridSpan w:val="2"/>
            <w:shd w:val="clear" w:color="auto" w:fill="DBDBDB"/>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40" w:type="dxa"/>
            <w:vAlign w:val="bottom"/>
            <w:tcBorders>
              <w:right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0.04</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16.6</w:t>
            </w: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91"/>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Intangible asset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ind w:left="60"/>
              <w:spacing w:after="0" w:line="205" w:lineRule="exact"/>
              <w:rPr>
                <w:sz w:val="20"/>
                <w:szCs w:val="20"/>
                <w:color w:val="auto"/>
              </w:rPr>
            </w:pPr>
            <w:r>
              <w:rPr>
                <w:rFonts w:ascii="Arial" w:cs="Arial" w:eastAsia="Arial" w:hAnsi="Arial"/>
                <w:sz w:val="14"/>
                <w:szCs w:val="14"/>
                <w:color w:val="auto"/>
              </w:rPr>
              <w:t xml:space="preserve">impairment </w:t>
            </w:r>
            <w:r>
              <w:rPr>
                <w:rFonts w:ascii="Arial" w:cs="Arial" w:eastAsia="Arial" w:hAnsi="Arial"/>
                <w:sz w:val="18"/>
                <w:szCs w:val="18"/>
                <w:color w:val="auto"/>
                <w:vertAlign w:val="superscript"/>
              </w:rPr>
              <w:t>(2)</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0.63</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0.17</w:t>
            </w: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76"/>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Partial pension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plan settlement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040" w:type="dxa"/>
            <w:vAlign w:val="bottom"/>
          </w:tcPr>
          <w:p>
            <w:pPr>
              <w:ind w:left="60"/>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0.02</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90" w:type="dxa"/>
            <w:vAlign w:val="bottom"/>
            <w:gridSpan w:val="2"/>
            <w:vMerge w:val="restart"/>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90" w:type="dxa"/>
            <w:vAlign w:val="bottom"/>
            <w:gridSpan w:val="2"/>
            <w:vMerge w:val="continue"/>
          </w:tcPr>
          <w:p>
            <w:pPr>
              <w:spacing w:after="0"/>
              <w:rPr>
                <w:sz w:val="6"/>
                <w:szCs w:val="6"/>
                <w:color w:val="auto"/>
              </w:rPr>
            </w:pPr>
          </w:p>
        </w:tc>
        <w:tc>
          <w:tcPr>
            <w:tcW w:w="7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Legal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8"/>
                <w:szCs w:val="18"/>
                <w:color w:val="auto"/>
                <w:vertAlign w:val="superscript"/>
              </w:rPr>
              <w:t>(4)</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9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Loss 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extinguishment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 xml:space="preserve">of debt </w:t>
            </w:r>
            <w:r>
              <w:rPr>
                <w:rFonts w:ascii="Arial" w:cs="Arial" w:eastAsia="Arial" w:hAnsi="Arial"/>
                <w:sz w:val="18"/>
                <w:szCs w:val="18"/>
                <w:color w:val="auto"/>
                <w:vertAlign w:val="superscript"/>
              </w:rPr>
              <w:t>(5)</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0.38</w:t>
            </w:r>
          </w:p>
        </w:tc>
        <w:tc>
          <w:tcPr>
            <w:tcW w:w="7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COVID-19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080" w:type="dxa"/>
            <w:vAlign w:val="bottom"/>
            <w:gridSpan w:val="2"/>
          </w:tcPr>
          <w:p>
            <w:pPr>
              <w:ind w:left="60"/>
              <w:spacing w:after="0" w:line="174"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(5)</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9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74"/>
        </w:trPr>
        <w:tc>
          <w:tcPr>
            <w:tcW w:w="1080" w:type="dxa"/>
            <w:vAlign w:val="bottom"/>
            <w:gridSpan w:val="2"/>
            <w:shd w:val="clear" w:color="auto" w:fill="DBDBDB"/>
          </w:tcPr>
          <w:p>
            <w:pPr>
              <w:ind w:left="60"/>
              <w:spacing w:after="0"/>
              <w:rPr>
                <w:sz w:val="20"/>
                <w:szCs w:val="20"/>
                <w:color w:val="auto"/>
              </w:rPr>
            </w:pPr>
            <w:r>
              <w:rPr>
                <w:rFonts w:ascii="Arial" w:cs="Arial" w:eastAsia="Arial" w:hAnsi="Arial"/>
                <w:sz w:val="14"/>
                <w:szCs w:val="14"/>
                <w:color w:val="auto"/>
              </w:rPr>
              <w:t>Retail store</w:t>
            </w: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660" w:type="dxa"/>
            <w:vAlign w:val="bottom"/>
            <w:shd w:val="clear" w:color="auto" w:fill="DBDBDB"/>
          </w:tcPr>
          <w:p>
            <w:pPr>
              <w:spacing w:after="0"/>
              <w:rPr>
                <w:sz w:val="23"/>
                <w:szCs w:val="23"/>
                <w:color w:val="auto"/>
              </w:rPr>
            </w:pPr>
          </w:p>
        </w:tc>
        <w:tc>
          <w:tcPr>
            <w:tcW w:w="80" w:type="dxa"/>
            <w:vAlign w:val="bottom"/>
            <w:tcBorders>
              <w:right w:val="single" w:sz="8" w:color="auto"/>
            </w:tcBorders>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80" w:type="dxa"/>
            <w:vAlign w:val="bottom"/>
            <w:tcBorders>
              <w:right w:val="single" w:sz="8" w:color="auto"/>
            </w:tcBorders>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70" w:type="dxa"/>
            <w:vAlign w:val="bottom"/>
            <w:shd w:val="clear" w:color="auto" w:fill="DBDBDB"/>
          </w:tcPr>
          <w:p>
            <w:pPr>
              <w:spacing w:after="0"/>
              <w:rPr>
                <w:sz w:val="23"/>
                <w:szCs w:val="23"/>
                <w:color w:val="auto"/>
              </w:rPr>
            </w:pPr>
          </w:p>
        </w:tc>
        <w:tc>
          <w:tcPr>
            <w:tcW w:w="7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6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640" w:type="dxa"/>
            <w:vAlign w:val="bottom"/>
            <w:tcBorders>
              <w:right w:val="single" w:sz="8" w:color="auto"/>
            </w:tcBorders>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6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DBDBDB"/>
          </w:tcPr>
          <w:p>
            <w:pPr>
              <w:ind w:left="60"/>
              <w:spacing w:after="0"/>
              <w:rPr>
                <w:sz w:val="20"/>
                <w:szCs w:val="20"/>
                <w:color w:val="auto"/>
              </w:rPr>
            </w:pPr>
            <w:r>
              <w:rPr>
                <w:rFonts w:ascii="Arial" w:cs="Arial" w:eastAsia="Arial" w:hAnsi="Arial"/>
                <w:sz w:val="14"/>
                <w:szCs w:val="14"/>
                <w:color w:val="auto"/>
              </w:rPr>
              <w:t>operating</w:t>
            </w:r>
          </w:p>
        </w:tc>
        <w:tc>
          <w:tcPr>
            <w:tcW w:w="10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80" w:type="dxa"/>
            <w:vAlign w:val="bottom"/>
            <w:tcBorders>
              <w:right w:val="single" w:sz="8" w:color="auto"/>
            </w:tcBorders>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80" w:type="dxa"/>
            <w:vAlign w:val="bottom"/>
            <w:tcBorders>
              <w:right w:val="single" w:sz="8" w:color="auto"/>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70" w:type="dxa"/>
            <w:vAlign w:val="bottom"/>
            <w:shd w:val="clear" w:color="auto" w:fill="DBDBDB"/>
          </w:tcPr>
          <w:p>
            <w:pPr>
              <w:spacing w:after="0"/>
              <w:rPr>
                <w:sz w:val="14"/>
                <w:szCs w:val="14"/>
                <w:color w:val="auto"/>
              </w:rPr>
            </w:pPr>
          </w:p>
        </w:tc>
        <w:tc>
          <w:tcPr>
            <w:tcW w:w="7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40" w:type="dxa"/>
            <w:vAlign w:val="bottom"/>
            <w:tcBorders>
              <w:right w:val="single" w:sz="8" w:color="auto"/>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leases and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other long-lived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asset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impairments,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ind w:left="60"/>
              <w:spacing w:after="0" w:line="204" w:lineRule="exact"/>
              <w:rPr>
                <w:sz w:val="20"/>
                <w:szCs w:val="20"/>
                <w:color w:val="auto"/>
              </w:rPr>
            </w:pPr>
            <w:r>
              <w:rPr>
                <w:rFonts w:ascii="Arial" w:cs="Arial" w:eastAsia="Arial" w:hAnsi="Arial"/>
                <w:sz w:val="23"/>
                <w:szCs w:val="23"/>
                <w:color w:val="auto"/>
                <w:vertAlign w:val="subscript"/>
              </w:rPr>
              <w:t>net</w:t>
            </w:r>
            <w:r>
              <w:rPr>
                <w:rFonts w:ascii="Arial" w:cs="Arial" w:eastAsia="Arial" w:hAnsi="Arial"/>
                <w:sz w:val="8"/>
                <w:szCs w:val="8"/>
                <w:color w:val="auto"/>
              </w:rPr>
              <w:t xml:space="preserve"> (7)</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9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7"/>
                <w:szCs w:val="17"/>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0"/>
        </w:trPr>
        <w:tc>
          <w:tcPr>
            <w:tcW w:w="10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80" w:type="dxa"/>
            <w:vAlign w:val="bottom"/>
            <w:gridSpan w:val="2"/>
          </w:tcPr>
          <w:p>
            <w:pPr>
              <w:ind w:left="60"/>
              <w:spacing w:after="0"/>
              <w:rPr>
                <w:sz w:val="20"/>
                <w:szCs w:val="20"/>
                <w:color w:val="auto"/>
              </w:rPr>
            </w:pPr>
            <w:r>
              <w:rPr>
                <w:rFonts w:ascii="Arial" w:cs="Arial" w:eastAsia="Arial" w:hAnsi="Arial"/>
                <w:sz w:val="14"/>
                <w:szCs w:val="14"/>
                <w:color w:val="auto"/>
              </w:rPr>
              <w:t xml:space="preserve">impairment </w:t>
            </w:r>
            <w:r>
              <w:rPr>
                <w:rFonts w:ascii="Arial" w:cs="Arial" w:eastAsia="Arial" w:hAnsi="Arial"/>
                <w:sz w:val="18"/>
                <w:szCs w:val="18"/>
                <w:color w:val="auto"/>
                <w:vertAlign w:val="superscript"/>
              </w:rPr>
              <w:t>(8)</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9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19"/>
        </w:trPr>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286.6</w:t>
            </w:r>
          </w:p>
        </w:tc>
        <w:tc>
          <w:tcPr>
            <w:tcW w:w="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5.81</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327.8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388.2</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7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7.87</w:t>
            </w:r>
          </w:p>
        </w:tc>
        <w:tc>
          <w:tcPr>
            <w:tcW w:w="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279.8</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4.16</w:t>
            </w:r>
          </w:p>
        </w:tc>
        <w:tc>
          <w:tcPr>
            <w:tcW w:w="0" w:type="dxa"/>
            <w:vAlign w:val="bottom"/>
          </w:tcPr>
          <w:p>
            <w:pPr>
              <w:spacing w:after="0"/>
              <w:rPr>
                <w:sz w:val="1"/>
                <w:szCs w:val="1"/>
                <w:color w:val="auto"/>
              </w:rPr>
            </w:pPr>
          </w:p>
        </w:tc>
      </w:tr>
      <w:tr>
        <w:trPr>
          <w:trHeight w:val="101"/>
        </w:trPr>
        <w:tc>
          <w:tcPr>
            <w:tcW w:w="104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 w:type="dxa"/>
            <w:vAlign w:val="bottom"/>
          </w:tcPr>
          <w:p>
            <w:pPr>
              <w:spacing w:after="0"/>
              <w:rPr>
                <w:sz w:val="8"/>
                <w:szCs w:val="8"/>
                <w:color w:val="auto"/>
              </w:rPr>
            </w:pPr>
          </w:p>
        </w:tc>
        <w:tc>
          <w:tcPr>
            <w:tcW w:w="7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40" w:type="dxa"/>
            <w:vAlign w:val="bottom"/>
            <w:vMerge w:val="restart"/>
          </w:tcPr>
          <w:p>
            <w:pPr>
              <w:ind w:left="80"/>
              <w:spacing w:after="0"/>
              <w:rPr>
                <w:sz w:val="20"/>
                <w:szCs w:val="20"/>
                <w:color w:val="auto"/>
              </w:rPr>
            </w:pPr>
            <w:r>
              <w:rPr>
                <w:rFonts w:ascii="Arial" w:cs="Arial" w:eastAsia="Arial" w:hAnsi="Arial"/>
                <w:sz w:val="14"/>
                <w:szCs w:val="14"/>
                <w:color w:val="auto"/>
              </w:rPr>
              <w:t>*)  Fiscal year</w:t>
            </w:r>
          </w:p>
        </w:tc>
        <w:tc>
          <w:tcPr>
            <w:tcW w:w="1560" w:type="dxa"/>
            <w:vAlign w:val="bottom"/>
            <w:gridSpan w:val="5"/>
            <w:vMerge w:val="restart"/>
          </w:tcPr>
          <w:p>
            <w:pPr>
              <w:jc w:val="right"/>
              <w:spacing w:after="0"/>
              <w:rPr>
                <w:sz w:val="20"/>
                <w:szCs w:val="20"/>
                <w:color w:val="auto"/>
              </w:rPr>
            </w:pPr>
            <w:r>
              <w:rPr>
                <w:rFonts w:ascii="Arial" w:cs="Arial" w:eastAsia="Arial" w:hAnsi="Arial"/>
                <w:sz w:val="14"/>
                <w:szCs w:val="14"/>
                <w:color w:val="auto"/>
                <w:strike w:val="1"/>
              </w:rPr>
              <w:t>2020 included 53 weeks</w:t>
            </w:r>
          </w:p>
        </w:tc>
        <w:tc>
          <w:tcPr>
            <w:tcW w:w="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4"/>
                <w:szCs w:val="4"/>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4"/>
                <w:szCs w:val="14"/>
                <w:color w:val="auto"/>
                <w:strike w:val="1"/>
              </w:rPr>
              <w:t>compared to 52 weeks i</w:t>
            </w:r>
          </w:p>
        </w:tc>
        <w:tc>
          <w:tcPr>
            <w:tcW w:w="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n</w:t>
            </w:r>
          </w:p>
        </w:tc>
        <w:tc>
          <w:tcPr>
            <w:tcW w:w="60" w:type="dxa"/>
            <w:vAlign w:val="bottom"/>
            <w:vMerge w:val="restart"/>
          </w:tcPr>
          <w:p>
            <w:pPr>
              <w:ind w:left="20"/>
              <w:spacing w:after="0"/>
              <w:rPr>
                <w:sz w:val="20"/>
                <w:szCs w:val="20"/>
                <w:color w:val="auto"/>
              </w:rPr>
            </w:pPr>
            <w:r>
              <w:rPr>
                <w:rFonts w:ascii="Arial" w:cs="Arial" w:eastAsia="Arial" w:hAnsi="Arial"/>
                <w:sz w:val="10"/>
                <w:szCs w:val="10"/>
                <w:color w:val="auto"/>
                <w:w w:val="70"/>
              </w:rPr>
              <w:t>f</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strike w:val="1"/>
                <w:w w:val="98"/>
              </w:rPr>
              <w:t>iscal 2024,</w:t>
            </w: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2</w:t>
            </w:r>
          </w:p>
        </w:tc>
        <w:tc>
          <w:tcPr>
            <w:tcW w:w="7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strike w:val="1"/>
              </w:rPr>
              <w:t>023, 2022,</w:t>
            </w:r>
          </w:p>
        </w:tc>
        <w:tc>
          <w:tcPr>
            <w:tcW w:w="880" w:type="dxa"/>
            <w:vAlign w:val="bottom"/>
            <w:gridSpan w:val="4"/>
            <w:vMerge w:val="restart"/>
          </w:tcPr>
          <w:p>
            <w:pPr>
              <w:jc w:val="right"/>
              <w:ind w:right="208"/>
              <w:spacing w:after="0"/>
              <w:rPr>
                <w:sz w:val="20"/>
                <w:szCs w:val="20"/>
                <w:color w:val="auto"/>
              </w:rPr>
            </w:pPr>
            <w:r>
              <w:rPr>
                <w:rFonts w:ascii="Arial" w:cs="Arial" w:eastAsia="Arial" w:hAnsi="Arial"/>
                <w:sz w:val="14"/>
                <w:szCs w:val="14"/>
                <w:color w:val="auto"/>
                <w:w w:val="93"/>
              </w:rPr>
              <w:t>and 2021.</w:t>
            </w: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040" w:type="dxa"/>
            <w:vAlign w:val="bottom"/>
            <w:vMerge w:val="continue"/>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80" w:type="dxa"/>
            <w:vAlign w:val="bottom"/>
            <w:tcBorders>
              <w:right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8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-4225290</wp:posOffset>
            </wp:positionV>
            <wp:extent cx="6810375" cy="6259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625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401320</wp:posOffset>
            </wp:positionV>
            <wp:extent cx="6810375" cy="41738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417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hanging="317"/>
        <w:spacing w:after="0" w:line="235" w:lineRule="auto"/>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Related to charges for organizational restructuring in fiscal 2024. Fiscal 2023 relates to charges for organizational restructuring and related corporate office lease amendment actions. Fiscal 2021 and 2020 amounts relate to certain lease exit, severance and related costs resulting from restructuring actions (not related to COVID-19).</w:t>
      </w:r>
    </w:p>
    <w:p>
      <w:pPr>
        <w:spacing w:after="0" w:line="13" w:lineRule="exact"/>
        <w:rPr>
          <w:rFonts w:ascii="Arial" w:cs="Arial" w:eastAsia="Arial" w:hAnsi="Arial"/>
          <w:sz w:val="14"/>
          <w:szCs w:val="14"/>
          <w:color w:val="auto"/>
        </w:rPr>
      </w:pPr>
    </w:p>
    <w:p>
      <w:pPr>
        <w:ind w:left="320" w:right="660" w:hanging="317"/>
        <w:spacing w:after="0" w:line="252" w:lineRule="auto"/>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Related to a non-cash impairment charge on the</w:t>
      </w:r>
      <w:r>
        <w:rPr>
          <w:rFonts w:ascii="Arial" w:cs="Arial" w:eastAsia="Arial" w:hAnsi="Arial"/>
          <w:sz w:val="14"/>
          <w:szCs w:val="14"/>
          <w:i w:val="1"/>
          <w:iCs w:val="1"/>
          <w:color w:val="auto"/>
        </w:rPr>
        <w:t>OshKosh</w:t>
      </w:r>
      <w:r>
        <w:rPr>
          <w:rFonts w:ascii="Arial" w:cs="Arial" w:eastAsia="Arial" w:hAnsi="Arial"/>
          <w:sz w:val="14"/>
          <w:szCs w:val="14"/>
          <w:color w:val="auto"/>
        </w:rPr>
        <w:t>indefinite-lived tradename asset in fiscal 2024Fiscal. 202 write-down relates to</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Fiscal 2020 write-down relates to OshKosh and Skip Hop tradename assets.</w:t>
      </w:r>
    </w:p>
    <w:p>
      <w:pPr>
        <w:ind w:left="320" w:hanging="317"/>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Related to a non-cash partial pension settlement charge in the fiscal in 2024.</w:t>
      </w:r>
    </w:p>
    <w:p>
      <w:pPr>
        <w:spacing w:after="0" w:line="134" w:lineRule="exact"/>
        <w:rPr>
          <w:rFonts w:ascii="Arial" w:cs="Arial" w:eastAsia="Arial" w:hAnsi="Arial"/>
          <w:sz w:val="14"/>
          <w:szCs w:val="14"/>
          <w:color w:val="auto"/>
        </w:rPr>
      </w:pPr>
    </w:p>
    <w:p>
      <w:pPr>
        <w:ind w:left="320" w:right="40" w:hanging="317"/>
        <w:spacing w:after="0" w:line="325" w:lineRule="auto"/>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fiscal 2023, a pre-tax adjustment of approximately $6.9 million ($5.3 million net of tax, or $0.14 per diluted share) was made related to a gain on a court-approved settlement in December 2023.</w:t>
      </w:r>
    </w:p>
    <w:p>
      <w:pPr>
        <w:spacing w:after="0" w:line="76" w:lineRule="exact"/>
        <w:rPr>
          <w:rFonts w:ascii="Arial" w:cs="Arial" w:eastAsia="Arial" w:hAnsi="Arial"/>
          <w:sz w:val="14"/>
          <w:szCs w:val="14"/>
          <w:color w:val="auto"/>
        </w:rPr>
      </w:pPr>
    </w:p>
    <w:p>
      <w:pPr>
        <w:ind w:left="320" w:right="20" w:hanging="317"/>
        <w:spacing w:after="0" w:line="325" w:lineRule="auto"/>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fiscal 2022, a pre-tax adjustment of approximately $19.9 million ($15.2 million net of tax, or $0.38 per diluted share) was made related to a loss on extinguishment of debt in fiscal 2022.</w:t>
      </w:r>
    </w:p>
    <w:p>
      <w:pPr>
        <w:spacing w:after="0" w:line="76" w:lineRule="exact"/>
        <w:rPr>
          <w:rFonts w:ascii="Arial" w:cs="Arial" w:eastAsia="Arial" w:hAnsi="Arial"/>
          <w:sz w:val="14"/>
          <w:szCs w:val="14"/>
          <w:color w:val="auto"/>
        </w:rPr>
      </w:pPr>
    </w:p>
    <w:p>
      <w:pPr>
        <w:ind w:left="320" w:hanging="317"/>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Net expenses incurred due to the COVID-19 pandemic.</w:t>
      </w:r>
    </w:p>
    <w:p>
      <w:pPr>
        <w:spacing w:after="0" w:line="176" w:lineRule="exact"/>
        <w:rPr>
          <w:rFonts w:ascii="Arial" w:cs="Arial" w:eastAsia="Arial" w:hAnsi="Arial"/>
          <w:sz w:val="14"/>
          <w:szCs w:val="14"/>
          <w:color w:val="auto"/>
        </w:rPr>
      </w:pPr>
    </w:p>
    <w:p>
      <w:pPr>
        <w:ind w:left="320" w:hanging="317"/>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Impairments include an immaterial gain on the remeasurement of retail store operating leases.</w:t>
      </w:r>
    </w:p>
    <w:p>
      <w:pPr>
        <w:spacing w:after="0" w:line="176" w:lineRule="exact"/>
        <w:rPr>
          <w:rFonts w:ascii="Arial" w:cs="Arial" w:eastAsia="Arial" w:hAnsi="Arial"/>
          <w:sz w:val="14"/>
          <w:szCs w:val="14"/>
          <w:color w:val="auto"/>
        </w:rPr>
      </w:pPr>
    </w:p>
    <w:p>
      <w:pPr>
        <w:ind w:left="320" w:hanging="317"/>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Goodwill impairment charge recorded in the International segment.</w:t>
      </w:r>
    </w:p>
    <w:p>
      <w:pPr>
        <w:sectPr>
          <w:pgSz w:w="11900" w:h="16838" w:orient="portrait"/>
          <w:cols w:equalWidth="0" w:num="1">
            <w:col w:w="9780"/>
          </w:cols>
          <w:pgMar w:left="1000" w:top="100" w:right="111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w:t>
      </w:r>
    </w:p>
    <w:p>
      <w:pPr>
        <w:sectPr>
          <w:pgSz w:w="11900" w:h="16838" w:orient="portrait"/>
          <w:cols w:equalWidth="0" w:num="1">
            <w:col w:w="9780"/>
          </w:cols>
          <w:pgMar w:left="1000" w:top="100" w:right="1119" w:bottom="1440"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6824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408940</wp:posOffset>
            </wp:positionV>
            <wp:extent cx="6810375" cy="5751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5751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5278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1527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lowerLetter"/>
      <w:start w:val="2"/>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1)"/>
      <w:numFmt w:val="lowerLetter"/>
      <w:start w:val="1"/>
    </w:lvl>
  </w:abstractNum>
  <w:abstractNum w:abstractNumId="36">
    <w:nsid w:val="1381823A"/>
    <w:multiLevelType w:val="hybridMultilevel"/>
    <w:lvl w:ilvl="0">
      <w:lvlJc w:val="left"/>
      <w:lvlText w:val="1"/>
      <w:numFmt w:val="bullet"/>
      <w:start w:val="1"/>
    </w:lvl>
  </w:abstractNum>
  <w:abstractNum w:abstractNumId="37">
    <w:nsid w:val="5DB70AE5"/>
    <w:multiLevelType w:val="hybridMultilevel"/>
    <w:lvl w:ilvl="0">
      <w:lvlJc w:val="left"/>
      <w:lvlText w:val="4"/>
      <w:numFmt w:val="bullet"/>
      <w:start w:val="1"/>
    </w:lvl>
  </w:abstractNum>
  <w:abstractNum w:abstractNumId="38">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1"/>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bullet"/>
      <w:start w:val="1"/>
    </w:lvl>
  </w:abstractNum>
  <w:abstractNum w:abstractNumId="48">
    <w:nsid w:val="661E3F1E"/>
    <w:multiLevelType w:val="hybridMultilevel"/>
    <w:lvl w:ilvl="0">
      <w:lvlJc w:val="left"/>
      <w:lvlText w:val="1"/>
      <w:numFmt w:val="bullet"/>
      <w:start w:val="1"/>
    </w:lvl>
  </w:abstractNum>
  <w:abstractNum w:abstractNumId="49">
    <w:nsid w:val="5DC79EA8"/>
    <w:multiLevelType w:val="hybridMultilevel"/>
    <w:lvl w:ilvl="0">
      <w:lvlJc w:val="left"/>
      <w:lvlText w:val="2"/>
      <w:numFmt w:val="bullet"/>
      <w:start w:val="1"/>
    </w:lvl>
  </w:abstractNum>
  <w:abstractNum w:abstractNumId="50">
    <w:nsid w:val="540A471C"/>
    <w:multiLevelType w:val="hybridMultilevel"/>
    <w:lvl w:ilvl="0">
      <w:lvlJc w:val="left"/>
      <w:lvlText w:val="1"/>
      <w:numFmt w:val="bullet"/>
      <w:start w:val="1"/>
    </w:lvl>
  </w:abstractNum>
  <w:abstractNum w:abstractNumId="51">
    <w:nsid w:val="7BD3EE7B"/>
    <w:multiLevelType w:val="hybridMultilevel"/>
    <w:lvl w:ilvl="0">
      <w:lvlJc w:val="left"/>
      <w:lvlText w:val="2"/>
      <w:numFmt w:val="bullet"/>
      <w:start w:val="1"/>
    </w:lvl>
  </w:abstractNum>
  <w:abstractNum w:abstractNumId="52">
    <w:nsid w:val="51D9C564"/>
    <w:multiLevelType w:val="hybridMultilevel"/>
    <w:lvl w:ilvl="0">
      <w:lvlJc w:val="left"/>
      <w:lvlText w:val="1"/>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lowerLetter"/>
      <w:start w:val="1"/>
    </w:lvl>
    <w:lvl w:ilvl="1">
      <w:lvlJc w:val="left"/>
      <w:lvlText w:val="◦"/>
      <w:numFmt w:val="bullet"/>
      <w:start w:val="1"/>
    </w:lvl>
  </w:abstractNum>
  <w:abstractNum w:abstractNumId="57">
    <w:nsid w:val="A0382C5"/>
    <w:multiLevelType w:val="hybridMultilevel"/>
    <w:lvl w:ilvl="0">
      <w:lvlJc w:val="left"/>
      <w:lvlText w:val="(%1)"/>
      <w:numFmt w:val="lowerLetter"/>
      <w:start w:val="4"/>
    </w:lvl>
  </w:abstractNum>
  <w:abstractNum w:abstractNumId="58">
    <w:nsid w:val="8F2B15E"/>
    <w:multiLevelType w:val="hybridMultilevel"/>
    <w:lvl w:ilvl="0">
      <w:lvlJc w:val="left"/>
      <w:lvlText w:val="(%1)"/>
      <w:numFmt w:val="lowerRoman"/>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4"/>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2"/>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2"/>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lowerRoman"/>
      <w:start w:val="1"/>
    </w:lvl>
  </w:abstractNum>
  <w:abstractNum w:abstractNumId="71">
    <w:nsid w:val="6EB5BD4"/>
    <w:multiLevelType w:val="hybridMultilevel"/>
    <w:lvl w:ilvl="0">
      <w:lvlJc w:val="left"/>
      <w:lvlText w:val="(%1)"/>
      <w:numFmt w:val="decimal"/>
      <w:start w:val="2"/>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lowerRoman"/>
      <w:start w:val="1"/>
    </w:lvl>
  </w:abstractNum>
  <w:abstractNum w:abstractNumId="74">
    <w:nsid w:val="885E1B"/>
    <w:multiLevelType w:val="hybridMultilevel"/>
    <w:lvl w:ilvl="0">
      <w:lvlJc w:val="left"/>
      <w:lvlText w:val="(%1)"/>
      <w:numFmt w:val="decimal"/>
      <w:start w:val="3"/>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lowerLetter"/>
      <w:start w:val="2"/>
    </w:lvl>
  </w:abstractNum>
  <w:abstractNum w:abstractNumId="77">
    <w:nsid w:val="1716703B"/>
    <w:multiLevelType w:val="hybridMultilevel"/>
    <w:lvl w:ilvl="0">
      <w:lvlJc w:val="left"/>
      <w:lvlText w:val="*"/>
      <w:numFmt w:val="bullet"/>
      <w:start w:val="1"/>
    </w:lvl>
    <w:lvl w:ilvl="1">
      <w:lvlJc w:val="left"/>
      <w:lvlText w:val="(%2)"/>
      <w:numFmt w:val="decimal"/>
      <w:start w:val="1"/>
    </w:lvl>
  </w:abstractNum>
  <w:abstractNum w:abstractNumId="78">
    <w:nsid w:val="14E17E33"/>
    <w:multiLevelType w:val="hybridMultilevel"/>
    <w:lvl w:ilvl="0">
      <w:lvlJc w:val="left"/>
      <w:lvlText w:val="(%1)"/>
      <w:numFmt w:val="decimal"/>
      <w:start w:val="5"/>
    </w:lvl>
  </w:abstractNum>
  <w:abstractNum w:abstractNumId="79">
    <w:nsid w:val="3222E7CD"/>
    <w:multiLevelType w:val="hybridMultilevel"/>
    <w:lvl w:ilvl="0">
      <w:lvlJc w:val="left"/>
      <w:lvlText w:val="(%1)"/>
      <w:numFmt w:val="decimal"/>
      <w:start w:val="6"/>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1"/>
      <w:numFmt w:val="decimal"/>
      <w:start w:val="1"/>
    </w:lvl>
    <w:lvl w:ilvl="1">
      <w:lvlJc w:val="left"/>
      <w:lvlText w:val="%2."/>
      <w:numFmt w:val="decimal"/>
      <w:start w:val="1"/>
    </w:lvl>
  </w:abstractNum>
  <w:abstractNum w:abstractNumId="82">
    <w:nsid w:val="2DF6D648"/>
    <w:multiLevelType w:val="hybridMultilevel"/>
    <w:lvl w:ilvl="0">
      <w:lvlJc w:val="left"/>
      <w:lvlText w:val="%1."/>
      <w:numFmt w:val="decimal"/>
      <w:start w:val="3"/>
    </w:lvl>
    <w:lvl w:ilvl="1">
      <w:lvlJc w:val="left"/>
      <w:lvlText w:val="%2"/>
      <w:numFmt w:val="decimal"/>
      <w:start w:val="1"/>
    </w:lvl>
  </w:abstractNum>
  <w:abstractNum w:abstractNumId="83">
    <w:nsid w:val="46B7D447"/>
    <w:multiLevelType w:val="hybridMultilevel"/>
    <w:lvl w:ilvl="0">
      <w:lvlJc w:val="left"/>
      <w:lvlText w:val="%1."/>
      <w:numFmt w:val="decimal"/>
      <w:start w:val="7"/>
    </w:lvl>
  </w:abstractNum>
  <w:abstractNum w:abstractNumId="84">
    <w:nsid w:val="4A2AC315"/>
    <w:multiLevelType w:val="hybridMultilevel"/>
    <w:lvl w:ilvl="0">
      <w:lvlJc w:val="left"/>
      <w:lvlText w:val="%1."/>
      <w:numFmt w:val="decimal"/>
      <w:start w:val="10"/>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2"/>
    </w:lvl>
  </w:abstractNum>
  <w:abstractNum w:abstractNumId="89">
    <w:nsid w:val="60EF0119"/>
    <w:multiLevelType w:val="hybridMultilevel"/>
    <w:lvl w:ilvl="0">
      <w:lvlJc w:val="left"/>
      <w:lvlText w:val="%1."/>
      <w:numFmt w:val="decimal"/>
      <w:start w:val="12"/>
    </w:lvl>
  </w:abstractNum>
  <w:abstractNum w:abstractNumId="90">
    <w:nsid w:val="26F324BA"/>
    <w:multiLevelType w:val="hybridMultilevel"/>
    <w:lvl w:ilvl="0">
      <w:lvlJc w:val="left"/>
      <w:lvlText w:val="%1"/>
      <w:numFmt w:val="decimal"/>
      <w:start w:val="1"/>
    </w:lvl>
    <w:lvl w:ilvl="1">
      <w:lvlJc w:val="left"/>
      <w:lvlText w:val="%2."/>
      <w:numFmt w:val="decimal"/>
      <w:start w:val="1"/>
    </w:lvl>
  </w:abstractNum>
  <w:abstractNum w:abstractNumId="91">
    <w:nsid w:val="7F01579B"/>
    <w:multiLevelType w:val="hybridMultilevel"/>
    <w:lvl w:ilvl="0">
      <w:lvlJc w:val="left"/>
      <w:lvlText w:val="%1."/>
      <w:numFmt w:val="decimal"/>
      <w:start w:val="3"/>
    </w:lvl>
    <w:lvl w:ilvl="1">
      <w:lvlJc w:val="left"/>
      <w:lvlText w:val="%2"/>
      <w:numFmt w:val="decimal"/>
      <w:start w:val="1"/>
    </w:lvl>
  </w:abstractNum>
  <w:abstractNum w:abstractNumId="92">
    <w:nsid w:val="49DA307D"/>
    <w:multiLevelType w:val="hybridMultilevel"/>
    <w:lvl w:ilvl="0">
      <w:lvlJc w:val="left"/>
      <w:lvlText w:val="%1."/>
      <w:numFmt w:val="decimal"/>
      <w:start w:val="13"/>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22"/>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2025-04-04T05:50:43Z</dcterms:created>
  <dcterms:modified xsi:type="dcterms:W3CDTF">2025-04-04T05:50:43Z</dcterms:modified>
</cp:coreProperties>
</file>