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156210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Carter’s,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2860" w:type="dxa"/>
            <w:vAlign w:val="bottom"/>
          </w:tcPr>
          <w:p>
            <w:pPr>
              <w:jc w:val="center"/>
              <w:ind w:right="11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4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w w:val="91"/>
              </w:rPr>
              <w:t>001-31829 </w:t>
            </w:r>
          </w:p>
        </w:tc>
        <w:tc>
          <w:tcPr>
            <w:tcW w:w="1360" w:type="dxa"/>
            <w:vAlign w:val="bottom"/>
          </w:tcPr>
          <w:p>
            <w:pPr>
              <w:spacing w:after="0"/>
              <w:rPr>
                <w:sz w:val="18"/>
                <w:szCs w:val="18"/>
                <w:color w:val="auto"/>
              </w:rPr>
            </w:pPr>
          </w:p>
        </w:tc>
        <w:tc>
          <w:tcPr>
            <w:tcW w:w="2420" w:type="dxa"/>
            <w:vAlign w:val="bottom"/>
          </w:tcPr>
          <w:p>
            <w:pPr>
              <w:jc w:val="center"/>
              <w:ind w:left="1202"/>
              <w:spacing w:after="0"/>
              <w:rPr>
                <w:sz w:val="20"/>
                <w:szCs w:val="20"/>
                <w:color w:val="auto"/>
              </w:rPr>
            </w:pPr>
            <w:r>
              <w:rPr>
                <w:rFonts w:ascii="Times New Roman" w:cs="Times New Roman" w:eastAsia="Times New Roman" w:hAnsi="Times New Roman"/>
                <w:sz w:val="18"/>
                <w:szCs w:val="18"/>
                <w:b w:val="1"/>
                <w:bCs w:val="1"/>
                <w:color w:val="auto"/>
                <w:w w:val="98"/>
              </w:rPr>
              <w:t>13-3912933</w:t>
            </w:r>
          </w:p>
        </w:tc>
      </w:tr>
      <w:tr>
        <w:trPr>
          <w:trHeight w:val="148"/>
        </w:trPr>
        <w:tc>
          <w:tcPr>
            <w:tcW w:w="2860" w:type="dxa"/>
            <w:vAlign w:val="bottom"/>
          </w:tcPr>
          <w:p>
            <w:pPr>
              <w:jc w:val="center"/>
              <w:ind w:right="11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140" w:type="dxa"/>
            <w:vAlign w:val="bottom"/>
          </w:tcPr>
          <w:p>
            <w:pPr>
              <w:ind w:left="1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(Commission </w:t>
            </w:r>
          </w:p>
        </w:tc>
        <w:tc>
          <w:tcPr>
            <w:tcW w:w="13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2420" w:type="dxa"/>
            <w:vAlign w:val="bottom"/>
          </w:tcPr>
          <w:p>
            <w:pPr>
              <w:jc w:val="center"/>
              <w:ind w:left="12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1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14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 xml:space="preserve">File Number) </w:t>
            </w: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420" w:type="dxa"/>
            <w:vAlign w:val="bottom"/>
          </w:tcPr>
          <w:p>
            <w:pPr>
              <w:jc w:val="center"/>
              <w:ind w:left="1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Phipps Tower,</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3438 Peachtree Road NE, Suite 1800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Atlanta, Georgia 30326</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(678) 791-1000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CRI</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set forth in Item 3.03 of this Current Report is incorporated into this Item 1.01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On September 22, 2025,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Carter’s,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authorized the Company’s entry into a stockholder rights agreement and declared a dividend of one right (a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for each outstanding share of common stock of the Company, par value $0.01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to stockholders of record at the close of business on October 3,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Each Right entitles its holder, subject to the terms of the Rights Agreement (as defined below), to purchase from the Company one ten-thousandth of a share of Series A Junior Participating Preferred Stock, par value $0.01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of the Company at an exercise price of $160.00 per Right, subject to adjustment. The description and terms of the Rights are set forth in a stockholder rights agreement, dated as of September 22, 2025 (the “</w:t>
      </w:r>
      <w:r>
        <w:rPr>
          <w:rFonts w:ascii="Times New Roman" w:cs="Times New Roman" w:eastAsia="Times New Roman" w:hAnsi="Times New Roman"/>
          <w:sz w:val="18"/>
          <w:szCs w:val="18"/>
          <w:b w:val="1"/>
          <w:bCs w:val="1"/>
          <w:i w:val="1"/>
          <w:iCs w:val="1"/>
          <w:color w:val="auto"/>
        </w:rPr>
        <w:t>Rights Agreement</w:t>
      </w:r>
      <w:r>
        <w:rPr>
          <w:rFonts w:ascii="Times New Roman" w:cs="Times New Roman" w:eastAsia="Times New Roman" w:hAnsi="Times New Roman"/>
          <w:sz w:val="18"/>
          <w:szCs w:val="18"/>
          <w:color w:val="auto"/>
        </w:rPr>
        <w:t>”), between the Company and Equiniti Trust Company, LLC, a New York limited liability trust company, as rights agent (and any successor rights agent, the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xml:space="preserve">”). The Rights Agreement was adopted to deter the acquisition of actual,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or negative control of the Company by any person or group through open market accumulation and to preserve the long-term value for the Company’s stockholders.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Rights Agreement is not expected to interfere with any merger or other business combination approved by the Board.</w:t>
      </w:r>
    </w:p>
    <w:p>
      <w:pPr>
        <w:spacing w:after="0" w:line="221"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Rights</w:t>
      </w:r>
      <w:r>
        <w:rPr>
          <w:rFonts w:ascii="Times New Roman" w:cs="Times New Roman" w:eastAsia="Times New Roman" w:hAnsi="Times New Roman"/>
          <w:sz w:val="18"/>
          <w:szCs w:val="18"/>
          <w:color w:val="auto"/>
        </w:rPr>
        <w:t>. The Rights will attach to any shares of Common Stock that become outstanding after the Record Date and prior to the earlier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Distribution Time (as defined below) and the Expiration Time (as defined below), and in certain other circumstances described in the Rights Agreement.</w:t>
      </w:r>
    </w:p>
    <w:p>
      <w:pPr>
        <w:spacing w:after="0" w:line="17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Until the Distribution Time, the Rights are associated with Common Stock and evidenced by Common Stock certificates or, in the case of uncertificated shares of Common Stock, the book-entry account that evidences record ownership of such shares, which will contain a notation incorporating the Rights Agreement by reference, and the Rights are transferable with and only with the underlying shares of Common Stock.</w:t>
      </w:r>
    </w:p>
    <w:p>
      <w:pPr>
        <w:spacing w:after="0" w:line="176" w:lineRule="exact"/>
        <w:rPr>
          <w:sz w:val="20"/>
          <w:szCs w:val="20"/>
          <w:color w:val="auto"/>
        </w:rPr>
      </w:pPr>
    </w:p>
    <w:p>
      <w:pPr>
        <w:jc w:val="both"/>
        <w:ind w:right="560" w:firstLine="991"/>
        <w:spacing w:after="0" w:line="289" w:lineRule="auto"/>
        <w:rPr>
          <w:sz w:val="20"/>
          <w:szCs w:val="20"/>
          <w:color w:val="auto"/>
        </w:rPr>
      </w:pPr>
      <w:r>
        <w:rPr>
          <w:rFonts w:ascii="Times New Roman" w:cs="Times New Roman" w:eastAsia="Times New Roman" w:hAnsi="Times New Roman"/>
          <w:sz w:val="17"/>
          <w:szCs w:val="17"/>
          <w:color w:val="auto"/>
        </w:rPr>
        <w:t>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 Stock as of the Distribution Time. From and after the Distribution Time, the separate rights certificates alone will represent the Rights.</w:t>
      </w:r>
    </w:p>
    <w:p>
      <w:pPr>
        <w:spacing w:after="0" w:line="158"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The Rights are not exercisable until the Distribution Time. Until a Right is exercised, its holder will have no rights as a stockholder of the Company, including the right to vote or to receive dividends.</w:t>
      </w:r>
    </w:p>
    <w:p>
      <w:pPr>
        <w:spacing w:after="0" w:line="158"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Separation and Distribution of Rights; Exercisability</w:t>
      </w:r>
      <w:r>
        <w:rPr>
          <w:rFonts w:ascii="Times New Roman" w:cs="Times New Roman" w:eastAsia="Times New Roman" w:hAnsi="Times New Roman"/>
          <w:sz w:val="18"/>
          <w:szCs w:val="18"/>
          <w:color w:val="auto"/>
        </w:rPr>
        <w:t>. Subject to certain exceptions, the Rights become exercisable and trade separately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Common Stock only upon the “</w:t>
      </w:r>
      <w:r>
        <w:rPr>
          <w:rFonts w:ascii="Times New Roman" w:cs="Times New Roman" w:eastAsia="Times New Roman" w:hAnsi="Times New Roman"/>
          <w:sz w:val="18"/>
          <w:szCs w:val="18"/>
          <w:b w:val="1"/>
          <w:bCs w:val="1"/>
          <w:i w:val="1"/>
          <w:iCs w:val="1"/>
          <w:color w:val="auto"/>
        </w:rPr>
        <w:t>Distribution Time</w:t>
      </w:r>
      <w:r>
        <w:rPr>
          <w:rFonts w:ascii="Times New Roman" w:cs="Times New Roman" w:eastAsia="Times New Roman" w:hAnsi="Times New Roman"/>
          <w:sz w:val="18"/>
          <w:szCs w:val="18"/>
          <w:color w:val="auto"/>
        </w:rPr>
        <w:t>,” which occurs upon the earlier of:</w:t>
      </w:r>
    </w:p>
    <w:p>
      <w:pPr>
        <w:spacing w:after="0" w:line="60" w:lineRule="exact"/>
        <w:rPr>
          <w:sz w:val="20"/>
          <w:szCs w:val="20"/>
          <w:color w:val="auto"/>
        </w:rPr>
      </w:pPr>
    </w:p>
    <w:p>
      <w:pPr>
        <w:ind w:left="960" w:right="200" w:hanging="532"/>
        <w:spacing w:after="0" w:line="26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tenth (10th) day after the “</w:t>
      </w:r>
      <w:r>
        <w:rPr>
          <w:rFonts w:ascii="Times New Roman" w:cs="Times New Roman" w:eastAsia="Times New Roman" w:hAnsi="Times New Roman"/>
          <w:sz w:val="18"/>
          <w:szCs w:val="18"/>
          <w:b w:val="1"/>
          <w:bCs w:val="1"/>
          <w:i w:val="1"/>
          <w:iCs w:val="1"/>
          <w:color w:val="auto"/>
        </w:rPr>
        <w:t>Stock Acquisition Date</w:t>
      </w:r>
      <w:r>
        <w:rPr>
          <w:rFonts w:ascii="Times New Roman" w:cs="Times New Roman" w:eastAsia="Times New Roman" w:hAnsi="Times New Roman"/>
          <w:sz w:val="18"/>
          <w:szCs w:val="18"/>
          <w:color w:val="auto"/>
        </w:rPr>
        <w:t>” (which is defined as (a) the first date of public announcement that any person or group has become an “</w:t>
      </w:r>
      <w:r>
        <w:rPr>
          <w:rFonts w:ascii="Times New Roman" w:cs="Times New Roman" w:eastAsia="Times New Roman" w:hAnsi="Times New Roman"/>
          <w:sz w:val="18"/>
          <w:szCs w:val="18"/>
          <w:b w:val="1"/>
          <w:bCs w:val="1"/>
          <w:i w:val="1"/>
          <w:iCs w:val="1"/>
          <w:color w:val="auto"/>
        </w:rPr>
        <w:t>Acquiring Person</w:t>
      </w:r>
      <w:r>
        <w:rPr>
          <w:rFonts w:ascii="Times New Roman" w:cs="Times New Roman" w:eastAsia="Times New Roman" w:hAnsi="Times New Roman"/>
          <w:sz w:val="18"/>
          <w:szCs w:val="18"/>
          <w:color w:val="auto"/>
        </w:rPr>
        <w:t>,” which is defined as a person or group that, together with its affiliates and associates, beneficially owns the Specified Percentage (as defined below) or</w:t>
      </w:r>
    </w:p>
    <w:p>
      <w:pPr>
        <w:sectPr>
          <w:pgSz w:w="11900" w:h="16838" w:orient="portrait"/>
          <w:cols w:equalWidth="0" w:num="1">
            <w:col w:w="11000"/>
          </w:cols>
          <w:pgMar w:left="440" w:top="293" w:right="459" w:bottom="1440" w:gutter="0" w:footer="0" w:header="0"/>
        </w:sectPr>
      </w:pPr>
    </w:p>
    <w:bookmarkStart w:id="2" w:name="page3"/>
    <w:bookmarkEnd w:id="2"/>
    <w:p>
      <w:pPr>
        <w:ind w:left="980"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more of the outstanding shares of Common Stock (with certain exceptions, including those described below) or (b) such other date, as determined by the Board, on which a person or group has become an Acquiring Person) or</w:t>
      </w:r>
    </w:p>
    <w:p>
      <w:pPr>
        <w:spacing w:after="0" w:line="67" w:lineRule="exact"/>
        <w:rPr>
          <w:sz w:val="20"/>
          <w:szCs w:val="20"/>
          <w:color w:val="auto"/>
        </w:rPr>
      </w:pPr>
    </w:p>
    <w:p>
      <w:pPr>
        <w:ind w:left="960" w:right="200" w:hanging="532"/>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 unless such tender or exchange offer is conditioned on the redemption of the Rights or termination of this Agreement.</w:t>
      </w:r>
    </w:p>
    <w:p>
      <w:pPr>
        <w:spacing w:after="0" w:line="68" w:lineRule="exact"/>
        <w:rPr>
          <w:sz w:val="20"/>
          <w:szCs w:val="20"/>
          <w:color w:val="auto"/>
        </w:rPr>
      </w:pPr>
    </w:p>
    <w:p>
      <w:pPr>
        <w:ind w:left="440"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Percentage</w:t>
      </w:r>
      <w:r>
        <w:rPr>
          <w:rFonts w:ascii="Times New Roman" w:cs="Times New Roman" w:eastAsia="Times New Roman" w:hAnsi="Times New Roman"/>
          <w:sz w:val="18"/>
          <w:szCs w:val="18"/>
          <w:color w:val="auto"/>
        </w:rPr>
        <w:t>” means (a) 20% (twenty percent) when referring to the beneficial ownership of any person that is a passive investor but only for so long as such person is a passive investor and (b) 15% (fifteen percent) when referring to the beneficial ownership of any person that is not a passive investor.</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 Acquiring Person does not include:</w:t>
      </w:r>
    </w:p>
    <w:p>
      <w:pPr>
        <w:spacing w:after="0" w:line="131"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subsidiary of the Company;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director or employee of the Company or any subsidiary of the Company in his or her capacity as such;</w:t>
      </w:r>
    </w:p>
    <w:p>
      <w:pPr>
        <w:spacing w:after="0" w:line="130" w:lineRule="exact"/>
        <w:rPr>
          <w:rFonts w:ascii="Times New Roman" w:cs="Times New Roman" w:eastAsia="Times New Roman" w:hAnsi="Times New Roman"/>
          <w:sz w:val="18"/>
          <w:szCs w:val="18"/>
          <w:color w:val="auto"/>
        </w:rPr>
      </w:pPr>
    </w:p>
    <w:p>
      <w:pPr>
        <w:jc w:val="both"/>
        <w:ind w:left="960" w:right="220" w:hanging="532"/>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or</w:t>
      </w:r>
    </w:p>
    <w:p>
      <w:pPr>
        <w:spacing w:after="0" w:line="81" w:lineRule="exact"/>
        <w:rPr>
          <w:rFonts w:ascii="Times New Roman" w:cs="Times New Roman" w:eastAsia="Times New Roman" w:hAnsi="Times New Roman"/>
          <w:sz w:val="18"/>
          <w:szCs w:val="18"/>
          <w:color w:val="auto"/>
        </w:rPr>
      </w:pPr>
    </w:p>
    <w:p>
      <w:pPr>
        <w:ind w:left="960" w:hanging="532"/>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that, together with its affiliates and associates, as of immediately prior to the first public announcement of the adoption of the Rights Agreement, beneficially owns the Specified Percentage or more of the outstanding shares of Common Stock, so long as such person or group continues to beneficially own at least the Specified Percentage of the outstanding shares of Common Stock and does not acquire shares of Common Stock to beneficially own an amount equal to or greater than the greater of the Specified Percentage and the sum of the lowest beneficial ownership of such person or group since the public announcement of the adoption of the Rights Agreement plus one share of Common Stock.</w:t>
      </w:r>
    </w:p>
    <w:p>
      <w:pPr>
        <w:spacing w:after="0" w:line="187"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In addition, the Rights Agreement provides that no person or group will become an Acquiring Person as a result of security purchases or issuances directly from the Company or through an underwritten offering approved by the Board. Also, a person or group will not be an Acquiring Person if the Board determines that such person or group has become an Acquiring Person inadvertently and such person or group has already divested or divests as promptly as practicable a sufficient number of shares of Common Stock so that such person or group would no longer be an Acquiring Person.</w:t>
      </w:r>
    </w:p>
    <w:p>
      <w:pPr>
        <w:spacing w:after="0" w:line="183"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Certain synthetic interests in securities created by derivative positions, whether or not such interests are considered to be ownership of the underlying Common Stock or are reportable for purposes of Regulation 13D of the Securities Exchange Act of 1934, as amended, are treated as beneficial ownership of the number of shares of Common Stock equivalent to the economic exposure created by the derivative position, to the extent actual shares of Common Stock are directly or indirectly held by counterparties to the derivatives contracts.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7" w:right="459" w:bottom="1440" w:gutter="0" w:footer="0" w:header="0"/>
        </w:sectPr>
      </w:pPr>
    </w:p>
    <w:bookmarkStart w:id="3" w:name="page4"/>
    <w:bookmarkEnd w:id="3"/>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Expiration Time</w:t>
      </w:r>
      <w:r>
        <w:rPr>
          <w:rFonts w:ascii="Times New Roman" w:cs="Times New Roman" w:eastAsia="Times New Roman" w:hAnsi="Times New Roman"/>
          <w:sz w:val="18"/>
          <w:szCs w:val="18"/>
          <w:color w:val="auto"/>
        </w:rPr>
        <w:t>. The Rights will expire on the earliest to occur of (a) the close of business on September 21, 2026 (the “</w:t>
      </w:r>
      <w:r>
        <w:rPr>
          <w:rFonts w:ascii="Times New Roman" w:cs="Times New Roman" w:eastAsia="Times New Roman" w:hAnsi="Times New Roman"/>
          <w:sz w:val="18"/>
          <w:szCs w:val="18"/>
          <w:b w:val="1"/>
          <w:bCs w:val="1"/>
          <w:i w:val="1"/>
          <w:iCs w:val="1"/>
          <w:color w:val="auto"/>
        </w:rPr>
        <w:t>Final Expiration Time</w:t>
      </w:r>
      <w:r>
        <w:rPr>
          <w:rFonts w:ascii="Times New Roman" w:cs="Times New Roman" w:eastAsia="Times New Roman" w:hAnsi="Times New Roman"/>
          <w:sz w:val="18"/>
          <w:szCs w:val="18"/>
          <w:color w:val="auto"/>
        </w:rPr>
        <w:t>”), unless prior to such date stockholder approval has been obtained to extend the term of the Rights, (b) the time at which the Rights are redeemed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exchanged by the Company (as described below), or (c) upon the closing of any merger or other acquisition transaction involving the Company pursuant to a merger or other acquisition agreement that has been approved by the Board before any person or group becomes an Acquiring Person (the earliest of (a), (b) and(c) being herein referred to as the “</w:t>
      </w:r>
      <w:r>
        <w:rPr>
          <w:rFonts w:ascii="Times New Roman" w:cs="Times New Roman" w:eastAsia="Times New Roman" w:hAnsi="Times New Roman"/>
          <w:sz w:val="18"/>
          <w:szCs w:val="18"/>
          <w:b w:val="1"/>
          <w:bCs w:val="1"/>
          <w:i w:val="1"/>
          <w:iCs w:val="1"/>
          <w:color w:val="auto"/>
        </w:rPr>
        <w:t>Expiration Time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Flip-in Event</w:t>
      </w:r>
      <w:r>
        <w:rPr>
          <w:rFonts w:ascii="Times New Roman" w:cs="Times New Roman" w:eastAsia="Times New Roman" w:hAnsi="Times New Roman"/>
          <w:sz w:val="18"/>
          <w:szCs w:val="18"/>
          <w:color w:val="auto"/>
        </w:rPr>
        <w:t>. In the event that any person or group (other than certain exempt persons) becomes an Acquiring Person (a “</w:t>
      </w:r>
      <w:r>
        <w:rPr>
          <w:rFonts w:ascii="Times New Roman" w:cs="Times New Roman" w:eastAsia="Times New Roman" w:hAnsi="Times New Roman"/>
          <w:sz w:val="18"/>
          <w:szCs w:val="18"/>
          <w:b w:val="1"/>
          <w:bCs w:val="1"/>
          <w:i w:val="1"/>
          <w:iCs w:val="1"/>
          <w:color w:val="auto"/>
        </w:rPr>
        <w:t>Flip-in Event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holder of a Right (other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(2) times the exercise price of the Right.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Flip-over Event</w:t>
      </w:r>
      <w:r>
        <w:rPr>
          <w:rFonts w:ascii="Times New Roman" w:cs="Times New Roman" w:eastAsia="Times New Roman" w:hAnsi="Times New Roman"/>
          <w:sz w:val="18"/>
          <w:szCs w:val="18"/>
          <w:color w:val="auto"/>
        </w:rPr>
        <w:t>. In the event that, at any time following the Stock Acquisition Date, any of the following occurs (each, a “</w:t>
      </w:r>
      <w:r>
        <w:rPr>
          <w:rFonts w:ascii="Times New Roman" w:cs="Times New Roman" w:eastAsia="Times New Roman" w:hAnsi="Times New Roman"/>
          <w:sz w:val="18"/>
          <w:szCs w:val="18"/>
          <w:b w:val="1"/>
          <w:bCs w:val="1"/>
          <w:i w:val="1"/>
          <w:iCs w:val="1"/>
          <w:color w:val="auto"/>
        </w:rPr>
        <w:t>Flip-over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consolidates with, or merges with and into, any other entity, and the Company is not the continuing or surviving entity;</w:t>
      </w:r>
    </w:p>
    <w:p>
      <w:pPr>
        <w:spacing w:after="0" w:line="130"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engages in a share exchange with or consolidates with, or merges with or into, the Company, and the Company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p>
      <w:pPr>
        <w:spacing w:after="0" w:line="81" w:lineRule="exact"/>
        <w:rPr>
          <w:rFonts w:ascii="Times New Roman" w:cs="Times New Roman" w:eastAsia="Times New Roman" w:hAnsi="Times New Roman"/>
          <w:sz w:val="18"/>
          <w:szCs w:val="18"/>
          <w:color w:val="auto"/>
        </w:rPr>
      </w:pPr>
    </w:p>
    <w:p>
      <w:pPr>
        <w:ind w:left="960" w:right="7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or otherwise transfers, in one transaction or a series of related transactions, fifty percent (50%) or more of the Company’s assets, cash flow or earning power,</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each holder of a Right (except Rights which previously have been voided as described above) will have the right to receive, upon exercise, common stock of the acquiring company having a value equal to two times the exercise price of the Right.</w:t>
      </w:r>
    </w:p>
    <w:p>
      <w:pPr>
        <w:spacing w:after="0" w:line="158"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Preferred Stock Provisions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share of Preferred Stock, if issued: will not be redeemable, will entitle the holder thereof, when, as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declared, to quarterly dividend payments equal to the greater of $1.00 per share and 10,000 times the amount of all cash dividends plus 10,000 times the amount of non-cash dividends or other distributions paid on one share of Common Stock, will entitle the holder thereof to receive $10,000 plus accrued and unpaid dividends per share upon liquidation, will have the same voting power as 10,000 shares of Common Stock and, if shares of Common Stock are exchanged via merger, consolidation or a similar transaction, will entitle the holder thereof to a per share payment equal to the payment made on 10,000 shares of Common Stock.</w:t>
      </w:r>
    </w:p>
    <w:p>
      <w:pPr>
        <w:spacing w:after="0" w:line="182" w:lineRule="exact"/>
        <w:rPr>
          <w:sz w:val="20"/>
          <w:szCs w:val="20"/>
          <w:color w:val="auto"/>
        </w:rPr>
      </w:pPr>
    </w:p>
    <w:p>
      <w:pPr>
        <w:ind w:right="620" w:firstLine="9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Anti-dilution Adjustments</w:t>
      </w:r>
      <w:r>
        <w:rPr>
          <w:rFonts w:ascii="Times New Roman" w:cs="Times New Roman" w:eastAsia="Times New Roman" w:hAnsi="Times New Roman"/>
          <w:sz w:val="18"/>
          <w:szCs w:val="18"/>
          <w:color w:val="auto"/>
        </w:rPr>
        <w:t>. The exercise price payable, and the number of shares of Preferred Stock or other securities or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issuable, upon exercise of the Rights are subject to adjustment from time to time to prevent dilution:</w:t>
      </w:r>
    </w:p>
    <w:p>
      <w:pPr>
        <w:spacing w:after="0" w:line="64" w:lineRule="exact"/>
        <w:rPr>
          <w:sz w:val="20"/>
          <w:szCs w:val="20"/>
          <w:color w:val="auto"/>
        </w:rPr>
      </w:pPr>
    </w:p>
    <w:p>
      <w:pPr>
        <w:ind w:left="5460" w:right="2260" w:hanging="4924"/>
        <w:spacing w:after="0" w:line="454" w:lineRule="auto"/>
        <w:tabs>
          <w:tab w:leader="none" w:pos="9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stock dividend on, or a subdivision, combination or reclassification of, the Preferred Stock; 3</w:t>
      </w:r>
    </w:p>
    <w:p>
      <w:pPr>
        <w:sectPr>
          <w:pgSz w:w="11900" w:h="16838" w:orient="portrait"/>
          <w:cols w:equalWidth="0" w:num="1">
            <w:col w:w="11000"/>
          </w:cols>
          <w:pgMar w:left="440" w:top="293" w:right="459" w:bottom="1440" w:gutter="0" w:footer="0" w:header="0"/>
        </w:sectPr>
      </w:pPr>
    </w:p>
    <w:bookmarkStart w:id="4" w:name="page5"/>
    <w:bookmarkEnd w:id="4"/>
    <w:p>
      <w:pPr>
        <w:ind w:left="960" w:right="14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holders of the Preferred Stock are granted certain rights, options or warrants to subscribe for Preferred Stock or convertible securities at less than the current market price of the Preferred Stock; or</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distribution to holders of the Preferred Stock of evidences of indebtedness or assets (excluding regular quarterly cash dividends) or of subscription rights or warrants (other than those referred to above).</w:t>
      </w:r>
    </w:p>
    <w:p>
      <w:pPr>
        <w:spacing w:after="0" w:line="162"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With certain exceptions, no adjustment in the exercise price will be required until cumulative adjustments amount to at least one percent (1%) of the exercise price. No fractional shares of Preferred Stock will be issued and, in lieu thereof, an adjustment in cash will be made based on the market price of the Preferred Stock on the last trading day prior to the date of exercise.</w:t>
      </w:r>
    </w:p>
    <w:p>
      <w:pPr>
        <w:spacing w:after="0" w:line="172"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Redemption; Exchange</w:t>
      </w:r>
      <w:r>
        <w:rPr>
          <w:rFonts w:ascii="Times New Roman" w:cs="Times New Roman" w:eastAsia="Times New Roman" w:hAnsi="Times New Roman"/>
          <w:sz w:val="18"/>
          <w:szCs w:val="18"/>
          <w:color w:val="auto"/>
        </w:rPr>
        <w:t>. At any time prior to the earlier of (i) such time as any person becomes an Acquiring Person or (ii) the Final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Expiration Time, the Company may redeem the Rights in whole, but not in part, at a price of $0.0001 per Right (subject to adjustment and payable in cash, Common Stock or other consideration deemed appropriate by the Board). Immediately upon the action of the Board authorizing any redemption or at a later time as the Board may establish for the effectiveness of the redemption, the Rights will terminate and the only right of the holders of Rights will be to receive the redemption price.</w:t>
      </w:r>
    </w:p>
    <w:p>
      <w:pPr>
        <w:spacing w:after="0" w:line="183"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At any time after any person or group becomes an Acquiring Person but before any Acquiring Person, together with all of its affiliates and associates, becomes the beneficial owner of fifty percent (50%) or more of the outstanding shares of Common Stock, the Company 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Common Stock, or one ten-thousandth of a share of Preferred Stock (or of a share of a class or series of the Company’s preferred stock having equivalent rights, preferences and privileges), per Right (subject to adjustment).</w:t>
      </w:r>
    </w:p>
    <w:p>
      <w:pPr>
        <w:spacing w:after="0" w:line="183" w:lineRule="exact"/>
        <w:rPr>
          <w:sz w:val="20"/>
          <w:szCs w:val="20"/>
          <w:color w:val="auto"/>
        </w:rPr>
      </w:pPr>
    </w:p>
    <w:p>
      <w:pPr>
        <w:ind w:right="240" w:firstLine="9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Amendment of the Rights Agreement</w:t>
      </w:r>
      <w:r>
        <w:rPr>
          <w:rFonts w:ascii="Times New Roman" w:cs="Times New Roman" w:eastAsia="Times New Roman" w:hAnsi="Times New Roman"/>
          <w:sz w:val="18"/>
          <w:szCs w:val="18"/>
          <w:color w:val="auto"/>
        </w:rPr>
        <w:t>. The Company and the Rights Agent may from time to time amend or supplement the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without the consent of the holders of the Rights. However, on or after the Stock Acquisition Date, no amendment can materially adversely affect the interests of the holders of the Rights (other than the Acquiring Person, any of its affiliates or associates or certain transferees of Acquiring Person or of any such affiliate or associate).</w:t>
      </w:r>
    </w:p>
    <w:p>
      <w:pPr>
        <w:spacing w:after="0" w:line="176" w:lineRule="exact"/>
        <w:rPr>
          <w:sz w:val="20"/>
          <w:szCs w:val="20"/>
          <w:color w:val="auto"/>
        </w:rPr>
      </w:pPr>
    </w:p>
    <w:p>
      <w:pPr>
        <w:ind w:right="240" w:firstLine="99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Miscellaneous</w:t>
      </w:r>
      <w:r>
        <w:rPr>
          <w:rFonts w:ascii="Times New Roman" w:cs="Times New Roman" w:eastAsia="Times New Roman" w:hAnsi="Times New Roman"/>
          <w:sz w:val="18"/>
          <w:szCs w:val="18"/>
          <w:color w:val="auto"/>
        </w:rPr>
        <w:t>. While the distribution of the Rights will not be taxable to stockholders or to the Company, stockholders may, depending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circumstances, recognize taxable income in the event that the Rights become exercisable for Common Stock (or other consideration) or for common stock of the acquiring company or in the event of the redemption of the Rights as described above.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Rights Agreement and the Rights does not purport to be complete and is qualified in its entirety by reference to the Rights Agreement, which is filed as Exhibit 4.1 to this Current Report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In connection with the adoption of the Rights Agreement described in Item 3.03 of this Current Report, the Board approved a Certificate of Designation of Series A Junior Participating Preferred Stock, which designates the rights, preferences and privileges of 15,000 shares of a series of the Company’s preferred stock, par value $0.01 per share, designated as Series A Junior Participating Preferred Stock. The information set forth in Item 3.03 of this Current Report is incorporated into this Item 5.03 by reference.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97" w:right="439" w:bottom="1440" w:gutter="0" w:footer="0" w:header="0"/>
        </w:sectPr>
      </w:pPr>
    </w:p>
    <w:bookmarkStart w:id="5" w:name="page6"/>
    <w:bookmarkEnd w:id="5"/>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Certificate of Designation was filed with the Delaware Secretary of State and became effective on September 24, 2025. A copy of the Certificate of Designation has been filed as Exhibit 3.1 to this Current Report and is incorporated herein by reference.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40" w:top="297"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7.01. Regulation FD Disclosure.</w:t>
      </w:r>
    </w:p>
    <w:p>
      <w:pPr>
        <w:spacing w:after="0" w:line="121"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On September 24, 2025, the Company issued a press release announcing the adoption of the Rights Agreement. A copy of that press release is furnished as Exhibit 99.1 to this Current Report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780" w:type="dxa"/>
            <w:vAlign w:val="bottom"/>
          </w:tcPr>
          <w:p>
            <w:pPr>
              <w:spacing w:after="0"/>
              <w:rPr>
                <w:sz w:val="14"/>
                <w:szCs w:val="14"/>
                <w:color w:val="auto"/>
              </w:rPr>
            </w:pPr>
          </w:p>
        </w:tc>
        <w:tc>
          <w:tcPr>
            <w:tcW w:w="700" w:type="dxa"/>
            <w:vAlign w:val="bottom"/>
            <w:tcBorders>
              <w:top w:val="single" w:sz="8" w:color="auto"/>
              <w:bottom w:val="single" w:sz="8" w:color="0000EE"/>
            </w:tcBorders>
          </w:tcPr>
          <w:p>
            <w:pPr>
              <w:spacing w:after="0" w:line="169" w:lineRule="exact"/>
              <w:rPr>
                <w:rFonts w:ascii="Times New Roman" w:cs="Times New Roman" w:eastAsia="Times New Roman" w:hAnsi="Times New Roman"/>
                <w:sz w:val="18"/>
                <w:szCs w:val="18"/>
                <w:color w:val="0000EE"/>
                <w:w w:val="89"/>
              </w:rPr>
            </w:pPr>
            <w:hyperlink r:id="rId23">
              <w:r>
                <w:rPr>
                  <w:rFonts w:ascii="Times New Roman" w:cs="Times New Roman" w:eastAsia="Times New Roman" w:hAnsi="Times New Roman"/>
                  <w:sz w:val="18"/>
                  <w:szCs w:val="18"/>
                  <w:color w:val="0000EE"/>
                  <w:w w:val="89"/>
                </w:rPr>
                <w:t>Certificate</w:t>
              </w:r>
            </w:hyperlink>
          </w:p>
        </w:tc>
        <w:tc>
          <w:tcPr>
            <w:tcW w:w="8080" w:type="dxa"/>
            <w:vAlign w:val="bottom"/>
            <w:tcBorders>
              <w:bottom w:val="single" w:sz="8" w:color="0000EE"/>
            </w:tcBorders>
            <w:gridSpan w:val="4"/>
          </w:tcPr>
          <w:p>
            <w:pPr>
              <w:ind w:left="100"/>
              <w:spacing w:after="0" w:line="169"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of Designation of the Series A Junior Participating Preferred Stock of the Company, dated September 24, 2025</w:t>
              </w:r>
            </w:hyperlink>
          </w:p>
        </w:tc>
        <w:tc>
          <w:tcPr>
            <w:tcW w:w="620" w:type="dxa"/>
            <w:vAlign w:val="bottom"/>
            <w:gridSpan w:val="4"/>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0" w:type="dxa"/>
            <w:vAlign w:val="bottom"/>
            <w:gridSpan w:val="9"/>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(incorporated by reference to Exhibit 3.1 to the Company’s Registration Statement on Form 8-A, filed with the Securities and</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Exchange Commission on September 24, 2025, File No. 001-31829)</w:t>
              </w:r>
            </w:hyperlink>
          </w:p>
        </w:tc>
        <w:tc>
          <w:tcPr>
            <w:tcW w:w="4080" w:type="dxa"/>
            <w:vAlign w:val="bottom"/>
            <w:tcBorders>
              <w:top w:val="single" w:sz="8" w:color="0000EE"/>
            </w:tcBorders>
            <w:gridSpan w:val="2"/>
          </w:tcPr>
          <w:p>
            <w:pPr>
              <w:spacing w:after="0"/>
              <w:rPr>
                <w:sz w:val="17"/>
                <w:szCs w:val="17"/>
                <w:color w:val="auto"/>
              </w:rPr>
            </w:pPr>
          </w:p>
        </w:tc>
        <w:tc>
          <w:tcPr>
            <w:tcW w:w="380" w:type="dxa"/>
            <w:vAlign w:val="bottom"/>
            <w:gridSpan w:val="3"/>
          </w:tcPr>
          <w:p>
            <w:pPr>
              <w:spacing w:after="0"/>
              <w:rPr>
                <w:sz w:val="17"/>
                <w:szCs w:val="17"/>
                <w:color w:val="auto"/>
              </w:rPr>
            </w:pPr>
          </w:p>
        </w:tc>
      </w:tr>
      <w:tr>
        <w:trPr>
          <w:trHeight w:val="304"/>
        </w:trPr>
        <w:tc>
          <w:tcPr>
            <w:tcW w:w="150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4.1</w:t>
            </w:r>
          </w:p>
        </w:tc>
        <w:tc>
          <w:tcPr>
            <w:tcW w:w="9400" w:type="dxa"/>
            <w:vAlign w:val="bottom"/>
            <w:gridSpan w:val="9"/>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Stockholder Rights Agreement, dated as of September 22, 2025, by and between the Company and Equiniti Trust Company, LLC,</w:t>
              </w:r>
            </w:hyperlink>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49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as rights agent (which includes the Form of Rights Certificate as Exhibit B thereto) (incorporated by reference to Exhibit 4.1 to the</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0" w:type="dxa"/>
            <w:vAlign w:val="bottom"/>
            <w:gridSpan w:val="9"/>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Company’s Registration Statement on Form 8-A, filed with the Securities and Exchange Commission on September 24, 2025, File</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3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No. 001-31829)</w:t>
              </w:r>
            </w:hyperlink>
          </w:p>
        </w:tc>
        <w:tc>
          <w:tcPr>
            <w:tcW w:w="20" w:type="dxa"/>
            <w:vAlign w:val="bottom"/>
          </w:tcPr>
          <w:p>
            <w:pPr>
              <w:spacing w:after="0"/>
              <w:rPr>
                <w:sz w:val="17"/>
                <w:szCs w:val="17"/>
                <w:color w:val="auto"/>
              </w:rPr>
            </w:pPr>
          </w:p>
        </w:tc>
      </w:tr>
      <w:tr>
        <w:trPr>
          <w:trHeight w:val="20"/>
        </w:trPr>
        <w:tc>
          <w:tcPr>
            <w:tcW w:w="1500" w:type="dxa"/>
            <w:vAlign w:val="bottom"/>
            <w:gridSpan w:val="3"/>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r>
      <w:tr>
        <w:trPr>
          <w:trHeight w:val="304"/>
        </w:trPr>
        <w:tc>
          <w:tcPr>
            <w:tcW w:w="150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99.1</w:t>
            </w: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Press Release issued by the Company on September 24, 2025</w:t>
            </w:r>
          </w:p>
        </w:tc>
      </w:tr>
      <w:tr>
        <w:trPr>
          <w:trHeight w:val="20"/>
        </w:trPr>
        <w:tc>
          <w:tcPr>
            <w:tcW w:w="1500" w:type="dxa"/>
            <w:vAlign w:val="bottom"/>
            <w:gridSpan w:val="3"/>
          </w:tcPr>
          <w:p>
            <w:pPr>
              <w:spacing w:after="0" w:line="20" w:lineRule="exact"/>
              <w:rPr>
                <w:sz w:val="1"/>
                <w:szCs w:val="1"/>
                <w:color w:val="auto"/>
              </w:rPr>
            </w:pPr>
          </w:p>
        </w:tc>
        <w:tc>
          <w:tcPr>
            <w:tcW w:w="4420" w:type="dxa"/>
            <w:vAlign w:val="bottom"/>
            <w:gridSpan w:val="3"/>
            <w:shd w:val="clear" w:color="auto" w:fill="0000EE"/>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r>
      <w:tr>
        <w:trPr>
          <w:trHeight w:val="344"/>
        </w:trPr>
        <w:tc>
          <w:tcPr>
            <w:tcW w:w="150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104</w:t>
            </w: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00"/>
          </w:cols>
          <w:pgMar w:left="440" w:top="293" w:right="5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Carter’s, Inc. has duly caused this report to be signed on its behalf by the undersigned hereunto duly authorized.</w:t>
      </w:r>
    </w:p>
    <w:p>
      <w:pPr>
        <w:spacing w:after="0" w:line="189"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September 24, 2025</w:t>
      </w:r>
      <w:r>
        <w:rPr>
          <w:sz w:val="20"/>
          <w:szCs w:val="20"/>
          <w:color w:val="auto"/>
        </w:rPr>
        <w:tab/>
      </w:r>
      <w:r>
        <w:rPr>
          <w:rFonts w:ascii="Times New Roman" w:cs="Times New Roman" w:eastAsia="Times New Roman" w:hAnsi="Times New Roman"/>
          <w:sz w:val="17"/>
          <w:szCs w:val="17"/>
          <w:color w:val="auto"/>
        </w:rPr>
        <w:t>CARTER’S, INC.</w:t>
      </w:r>
    </w:p>
    <w:p>
      <w:pPr>
        <w:spacing w:after="0" w:line="333"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Antonio D. Robinson</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Antonio D. Robinson</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&amp; Compliance Officer and Secretary</w:t>
            </w:r>
          </w:p>
        </w:tc>
      </w:tr>
    </w:tbl>
    <w:p>
      <w:pPr>
        <w:sectPr>
          <w:pgSz w:w="11900" w:h="16838" w:orient="portrait"/>
          <w:cols w:equalWidth="0" w:num="1">
            <w:col w:w="11020"/>
          </w:cols>
          <w:pgMar w:left="440" w:top="293"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99707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9970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Sean McHugh</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Vice President &amp; Treasurer</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(678) 791-7615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Adopts Limited Duration Stockholder Rights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Response to Rapid Stock Accumulation</w:t>
      </w:r>
    </w:p>
    <w:p>
      <w:pPr>
        <w:spacing w:after="0" w:line="20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ATLANTA – September 24, 2025 – Carter’s, Inc. (NYSE: CRI) (the “Company” or “Carter’s”), North America’s largest and most-enduring apparel company exclusively for babies and young children, today announced that its Board of Directors (the “Board”) has unanimously adopted a limited duration stockholder rights agreement (the “Rights Agreement”).</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Carter’s recently became aware of the rapid accumulation of a significant amount (16.86%) of the common stock of the Company by RWWM, Inc., (“RWWM”) as disclosed in a Schedule 13G/A filed with the U.S. Securities and Exchange Commission (“SEC”) on September 4, 2025. Carter’s was given no advance notice of the stock accumulation by RWWM, and there has been no communication from RWWM, despite attempts by Carter’s management to contact RWWM. It is possible that RWWM is continuing to accumulate stock. Therefore, the Board believes that adopting the Rights Agreement is in the best interests of all Carter’s stockholders as it will help promote the fair and equal treatment of all stockholders and ensure that the Board remains in the best position to discharge its fiduciary duties. The Rights Agreement is intended to reduce the likelihood that any entity, person or group is able to gain control of Carter’s through open market accumulation without paying all stockholders an appropriate control premium or providing the Board sufficient opportunity to make informed judgments and take actions that are in the best interests of all stockholders.</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Rights Agreement, Carter’s will issue, by means of a dividend, one preferred share purchase right for each outstanding share of Carter’s common stock to stockholders of record on the close of business on October 3, 2025. Initially, these rights will not be exercisable and will trade with, and be represented by, the shares of Carter’s common stock.</w:t>
      </w:r>
    </w:p>
    <w:p>
      <w:pPr>
        <w:sectPr>
          <w:pgSz w:w="11900" w:h="16838" w:orient="portrait"/>
          <w:cols w:equalWidth="0" w:num="1">
            <w:col w:w="11020"/>
          </w:cols>
          <w:pgMar w:left="440" w:top="117"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Agreement will expire on September 21, 2026, or earlier, as provided in the Rights Agreement.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Rights Agreement is similar to other stockholder rights plans adopted by publicly-held companies. Under the Rights Agreement, if a person or group (each, an “acquiring person”) acquires beneficial ownership of 15% (or 20% in the case of investors eligible to file Schedule 13Gs) or more of the outstanding shares of Carter’s common stock in a transaction not approved by the Board, the Board, at its option, may exchange each right (other than rights owned by the acquiring person that will become void and will not be exercisable) in whole or in part, at an exchange ratio of one share of Carter’s common stock per outstanding right, subject to adjustment. Alternatively, if the Board does not elect to exchange the rights, then, each holder of a right (other than the acquiring person, whose rights have become void) will be entitled to purchase, at the then-current exercise price, additional shares of Carter’s common stock at a fifty percent (50%) discount to the market price of the stock. In addition, the rights also become exercisable if Carter’s is acquired in a merger or other business combination after an unapproved party acquires more than 15% (or 20% in the case of certain investors filing on Schedule 13G) of the outstanding shares of Carter’s common stock, each holder of a right would then be entitled to purchase, at the then-current exercise price, shares of the acquiring company’s stock at a fifty percent (50%) discount to the market price of the stock. Except as provided in the Rights Agreement, the Board is entitled to redeem the rights at $0.0001 per right.</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 person or group that beneficially owns 15% (or 20% in the case of certain investors filing on Schedule 13G) or more of the outstanding shares of Carter’s common stock prior to Carter’s announcement of its adoption of the Rights Agreement, then that person’s or group’s existing ownership percentage will be grandfathered at their current ownership levels, although, with certain exceptions, the rights will become exercisable for stockholders other than that person or group, if at any time after the announcement of the adoption of the Rights Agreement such person or group increases its ownership of Carter’s common stock.</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Rights Agreement will be contained in a current report on Form 8-K to be filed by Carter’s with the SEC on September 24,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Sidley Austin LLP is acting as legal counsel to Carter’s.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Carter’s, Inc.</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 xml:space="preserve">Carter’s, Inc. is North America’s largest and most-enduring apparel company exclusively for babies and young children. The Company’s core brands are </w:t>
      </w:r>
      <w:r>
        <w:rPr>
          <w:rFonts w:ascii="Times New Roman" w:cs="Times New Roman" w:eastAsia="Times New Roman" w:hAnsi="Times New Roman"/>
          <w:sz w:val="17"/>
          <w:szCs w:val="17"/>
          <w:i w:val="1"/>
          <w:iCs w:val="1"/>
          <w:color w:val="auto"/>
        </w:rPr>
        <w:t xml:space="preserve">Carter’s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OshKosh B’gosh</w:t>
      </w:r>
      <w:r>
        <w:rPr>
          <w:rFonts w:ascii="Times New Roman" w:cs="Times New Roman" w:eastAsia="Times New Roman" w:hAnsi="Times New Roman"/>
          <w:sz w:val="17"/>
          <w:szCs w:val="17"/>
          <w:color w:val="auto"/>
        </w:rPr>
        <w:t>, iconic and among the sector’s most trusted names. These brands are sold through more than 1,000 Company-operated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stores in the United States, Canada, and Mexico, and online at www.carters.com, www.oshkosh.com, www.cartersoshkosh.ca, and www.carters.com.mx. Carter’s also is the largest supplier of baby and young children’s apparel to North America’s biggest retailers. The Company’s </w:t>
      </w:r>
      <w:r>
        <w:rPr>
          <w:rFonts w:ascii="Times New Roman" w:cs="Times New Roman" w:eastAsia="Times New Roman" w:hAnsi="Times New Roman"/>
          <w:sz w:val="17"/>
          <w:szCs w:val="17"/>
          <w:i w:val="1"/>
          <w:iCs w:val="1"/>
          <w:color w:val="auto"/>
        </w:rPr>
        <w:t>Child of Mine</w:t>
      </w:r>
      <w:r>
        <w:rPr>
          <w:rFonts w:ascii="Times New Roman" w:cs="Times New Roman" w:eastAsia="Times New Roman" w:hAnsi="Times New Roman"/>
          <w:sz w:val="17"/>
          <w:szCs w:val="17"/>
          <w:color w:val="auto"/>
        </w:rPr>
        <w:t xml:space="preserve"> brand is available exclusively at Walmart, its </w:t>
      </w:r>
      <w:r>
        <w:rPr>
          <w:rFonts w:ascii="Times New Roman" w:cs="Times New Roman" w:eastAsia="Times New Roman" w:hAnsi="Times New Roman"/>
          <w:sz w:val="17"/>
          <w:szCs w:val="17"/>
          <w:i w:val="1"/>
          <w:iCs w:val="1"/>
          <w:color w:val="auto"/>
        </w:rPr>
        <w:t>Just One You</w:t>
      </w:r>
      <w:r>
        <w:rPr>
          <w:rFonts w:ascii="Times New Roman" w:cs="Times New Roman" w:eastAsia="Times New Roman" w:hAnsi="Times New Roman"/>
          <w:sz w:val="17"/>
          <w:szCs w:val="17"/>
          <w:color w:val="auto"/>
        </w:rPr>
        <w:t xml:space="preserve"> brand is available at Target, and its </w:t>
      </w:r>
      <w:r>
        <w:rPr>
          <w:rFonts w:ascii="Times New Roman" w:cs="Times New Roman" w:eastAsia="Times New Roman" w:hAnsi="Times New Roman"/>
          <w:sz w:val="17"/>
          <w:szCs w:val="17"/>
          <w:i w:val="1"/>
          <w:iCs w:val="1"/>
          <w:color w:val="auto"/>
        </w:rPr>
        <w:t>Simple Joys</w:t>
      </w:r>
      <w:r>
        <w:rPr>
          <w:rFonts w:ascii="Times New Roman" w:cs="Times New Roman" w:eastAsia="Times New Roman" w:hAnsi="Times New Roman"/>
          <w:sz w:val="17"/>
          <w:szCs w:val="17"/>
          <w:color w:val="auto"/>
        </w:rPr>
        <w:t xml:space="preserve"> brand is available on Amazon.com. The Company’s emerging brands include </w:t>
      </w:r>
      <w:r>
        <w:rPr>
          <w:rFonts w:ascii="Times New Roman" w:cs="Times New Roman" w:eastAsia="Times New Roman" w:hAnsi="Times New Roman"/>
          <w:sz w:val="17"/>
          <w:szCs w:val="17"/>
          <w:i w:val="1"/>
          <w:iCs w:val="1"/>
          <w:color w:val="auto"/>
        </w:rPr>
        <w:t>Little Planet</w:t>
      </w:r>
      <w:r>
        <w:rPr>
          <w:rFonts w:ascii="Times New Roman" w:cs="Times New Roman" w:eastAsia="Times New Roman" w:hAnsi="Times New Roman"/>
          <w:sz w:val="17"/>
          <w:szCs w:val="17"/>
          <w:color w:val="auto"/>
        </w:rPr>
        <w:t xml:space="preserve">, crafted with organic fabrics and sustainable materials, </w:t>
      </w:r>
      <w:r>
        <w:rPr>
          <w:rFonts w:ascii="Times New Roman" w:cs="Times New Roman" w:eastAsia="Times New Roman" w:hAnsi="Times New Roman"/>
          <w:sz w:val="17"/>
          <w:szCs w:val="17"/>
          <w:i w:val="1"/>
          <w:iCs w:val="1"/>
          <w:color w:val="auto"/>
        </w:rPr>
        <w:t>Otter Avenue</w:t>
      </w:r>
      <w:r>
        <w:rPr>
          <w:rFonts w:ascii="Times New Roman" w:cs="Times New Roman" w:eastAsia="Times New Roman" w:hAnsi="Times New Roman"/>
          <w:sz w:val="17"/>
          <w:szCs w:val="17"/>
          <w:color w:val="auto"/>
        </w:rPr>
        <w:t xml:space="preserve">, a toddler-focused apparel brand, and </w:t>
      </w:r>
      <w:r>
        <w:rPr>
          <w:rFonts w:ascii="Times New Roman" w:cs="Times New Roman" w:eastAsia="Times New Roman" w:hAnsi="Times New Roman"/>
          <w:sz w:val="17"/>
          <w:szCs w:val="17"/>
          <w:i w:val="1"/>
          <w:iCs w:val="1"/>
          <w:color w:val="auto"/>
        </w:rPr>
        <w:t>Skip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Hop</w:t>
      </w:r>
      <w:r>
        <w:rPr>
          <w:rFonts w:ascii="Times New Roman" w:cs="Times New Roman" w:eastAsia="Times New Roman" w:hAnsi="Times New Roman"/>
          <w:sz w:val="17"/>
          <w:szCs w:val="17"/>
          <w:color w:val="auto"/>
        </w:rPr>
        <w:t>, baby essentials from tubs to toys. Carter’s is headquartered in Atlanta, Georgia. Additional information may be found at www.carters.com.</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press release. These risks and uncertainties include, but are not limited to, those disclosed in Part II, Item 1A. “Risk Factors” of the Company’s Quarterly Report on Form 10-Q for the fiscal quarter ended June 28, 2025 and Part I, Item 1A. “Risk Factors” of the Company’s Annual Report on Form 10-K for the fiscal year ended December 28, 2024, and otherwise in our reports and filings with the Securities and Exchange Commission, as well as the following factors: changes in global economic and financial conditions, and the resulting impact on consumer confidence and consumer spending, as well as other changes in consumer discretionary spending habits; risks related to public health crises; risks related to consumer tastes and preferences, as well as fashion trends; the failure to protect our intellectual property; the diminished value of our brands, potentially as a result of negative publicity or unsuccessful branding and marketing efforts; delays, product recalls, or loss of revenue due to a failure to meet our quality standards; risks related to uncertainty regarding the future of international trade agreements and the United States’ position on international trade, as well as significant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1" w:name="page12"/>
    <w:bookmarkEnd w:id="1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political, trade, and regulatory developments and other circumstances beyond our control; increased competition in the marketplace; financial difficulties for one or more of our major customers; identification of locations and negotiation of appropriate lease terms for our retail stores; distinct risks facing our eCommerce business; failure to forecast demand for our products and our failure to manage our inventory; increased margin pressures, including increased cost of materials and labor and our inability to successfully increase prices to offset these increased costs; continued inflationary pressures with respect to labor and raw materials and global supply chain constraints that have, and could continue, to affect freight, transit, and other costs; fluctuations in foreign currency exchange rates; unseasonable or extreme weather conditions; risks associated with corporate responsibility issues; our foreign sourcing arrangements; a relatively small number of vendors supply a significant amount of our products; disruptions in our supply chain, including increased transportation and freight costs; our ability to effectively source and manage inventory; problems with our Braselton, Georgia distribution facility; pending and threatened lawsuits; a breach of our information technology systems and the loss of personal data or a failure to implement new information technology systems successfully; unsuccessful expansion into international markets; failure to comply with various laws and regulations; failure to properly manage strategic initiatives; retention of key individuals; acquisition and integration of other brands and businesses; failure to achieve sales growth plans and profitability objectives to support the carrying value of our intangible assets; our continued ability to meet obligations related to our debt; changes in our tax obligations, including additional customs, duties or tariffs; our continued ability to declare and pay a dividend; volatility in the market price of our common stock; and the cost or effort required for our stockholders to bring certain claims or actions against us, as a result of our designation of the Court of Chancery of the State of Delaware as the sole and exclusive forum for certain types of actions and proceedings.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press release does not constitute an admission by the Company or any other person that the events or circumstances described in such statement are material.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23" Type="http://schemas.openxmlformats.org/officeDocument/2006/relationships/hyperlink" Target="http://www.sec.gov/Archives/edgar/data/1060822/000119312525214052/d919064dex31.htm" TargetMode="External"/><Relationship Id="rId24" Type="http://schemas.openxmlformats.org/officeDocument/2006/relationships/hyperlink" Target="http://www.sec.gov/Archives/edgar/data/1060822/000119312525214052/d91906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2025-09-24T07:46:22Z</dcterms:created>
  <dcterms:modified xsi:type="dcterms:W3CDTF">2025-09-24T07:46:22Z</dcterms:modified>
</cp:coreProperties>
</file>